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E5" w:rsidRDefault="00F217E5" w:rsidP="0047781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УДК: </w:t>
      </w:r>
      <w:r>
        <w:rPr>
          <w:rFonts w:ascii="Times New Roman" w:hAnsi="Times New Roman" w:cs="Times New Roman"/>
          <w:b/>
          <w:sz w:val="28"/>
          <w:szCs w:val="28"/>
        </w:rPr>
        <w:t>504064.3:504.3.054</w:t>
      </w:r>
    </w:p>
    <w:p w:rsidR="00F217E5" w:rsidRDefault="00F217E5" w:rsidP="00F217E5">
      <w:pPr>
        <w:spacing w:after="0" w:line="240" w:lineRule="auto"/>
        <w:ind w:firstLine="737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F217E5" w:rsidRDefault="00F217E5" w:rsidP="00F217E5">
      <w:pPr>
        <w:spacing w:after="0" w:line="240" w:lineRule="auto"/>
        <w:ind w:firstLine="737"/>
        <w:contextualSpacing/>
        <w:jc w:val="center"/>
        <w:outlineLvl w:val="3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Біоіндикація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харчової безпеки плодів шовковиці білої (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Morus</w:t>
      </w:r>
      <w:proofErr w:type="spellEnd"/>
      <w:r w:rsidRPr="00F217E5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alba</w:t>
      </w:r>
      <w:r>
        <w:rPr>
          <w:rFonts w:ascii="Times New Roman" w:hAnsi="Times New Roman"/>
          <w:b/>
          <w:sz w:val="28"/>
          <w:szCs w:val="28"/>
        </w:rPr>
        <w:t>) за допомогою шовковичного шовкопряда (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Bombyx</w:t>
      </w:r>
      <w:proofErr w:type="spellEnd"/>
      <w:r w:rsidRPr="00F217E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mori</w:t>
      </w:r>
      <w:proofErr w:type="spellEnd"/>
      <w:r w:rsidRPr="00F217E5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L</w:t>
      </w:r>
      <w:r>
        <w:rPr>
          <w:rFonts w:ascii="Times New Roman" w:hAnsi="Times New Roman"/>
          <w:b/>
          <w:i/>
          <w:sz w:val="28"/>
          <w:szCs w:val="28"/>
        </w:rPr>
        <w:t>.).</w:t>
      </w:r>
    </w:p>
    <w:p w:rsidR="00F217E5" w:rsidRDefault="00F217E5" w:rsidP="00F217E5">
      <w:pPr>
        <w:spacing w:after="0" w:line="240" w:lineRule="auto"/>
        <w:ind w:firstLine="737"/>
        <w:contextualSpacing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Маркіна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Т. Ю., </w:t>
      </w:r>
      <w:proofErr w:type="spellStart"/>
      <w:r>
        <w:rPr>
          <w:rFonts w:ascii="Times New Roman" w:hAnsi="Times New Roman"/>
          <w:b/>
          <w:sz w:val="28"/>
          <w:szCs w:val="28"/>
        </w:rPr>
        <w:t>Суханова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І. П., </w:t>
      </w:r>
      <w:proofErr w:type="spellStart"/>
      <w:r>
        <w:rPr>
          <w:rFonts w:ascii="Times New Roman" w:hAnsi="Times New Roman"/>
          <w:b/>
          <w:sz w:val="28"/>
          <w:szCs w:val="28"/>
        </w:rPr>
        <w:t>Бровді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 А., </w:t>
      </w:r>
      <w:proofErr w:type="spellStart"/>
      <w:r>
        <w:rPr>
          <w:rFonts w:ascii="Times New Roman" w:hAnsi="Times New Roman"/>
          <w:b/>
          <w:sz w:val="28"/>
          <w:szCs w:val="28"/>
        </w:rPr>
        <w:t>Суханов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С. В.</w:t>
      </w:r>
    </w:p>
    <w:p w:rsidR="00F217E5" w:rsidRDefault="00F217E5" w:rsidP="00F217E5">
      <w:pPr>
        <w:spacing w:after="0" w:line="240" w:lineRule="auto"/>
        <w:ind w:firstLine="737"/>
        <w:contextualSpacing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Харківський національний педагогічний університет ім.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Г. С. Сковороди;</w:t>
      </w:r>
    </w:p>
    <w:p w:rsidR="00F217E5" w:rsidRDefault="00F217E5" w:rsidP="00F217E5">
      <w:pPr>
        <w:spacing w:after="0" w:line="240" w:lineRule="auto"/>
        <w:ind w:firstLine="737"/>
        <w:contextualSpacing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Уманський національний університет садівництва</w:t>
      </w:r>
    </w:p>
    <w:p w:rsidR="00F217E5" w:rsidRDefault="00F217E5" w:rsidP="00F217E5">
      <w:pPr>
        <w:spacing w:after="0" w:line="240" w:lineRule="auto"/>
        <w:ind w:firstLine="737"/>
        <w:contextualSpacing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</w:p>
    <w:p w:rsidR="00F217E5" w:rsidRDefault="00F217E5" w:rsidP="00F217E5">
      <w:pPr>
        <w:spacing w:after="0" w:line="240" w:lineRule="auto"/>
        <w:ind w:firstLine="737"/>
        <w:contextualSpacing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статті викладено результати застосування методу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біоіндикації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вмісту інсектицидів в довкіллі за допомогою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Bombyx</w:t>
      </w:r>
      <w:proofErr w:type="spellEnd"/>
      <w:r w:rsidRPr="00F217E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mori</w:t>
      </w:r>
      <w:proofErr w:type="spellEnd"/>
      <w:r w:rsidRPr="00F217E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 метою оцінки харчової безпеки плодів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Morus</w:t>
      </w:r>
      <w:proofErr w:type="spellEnd"/>
      <w:r w:rsidRPr="00F217E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alba</w:t>
      </w:r>
      <w:r w:rsidRPr="00F217E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Цей напрям є проявом глобальної проблеми </w:t>
      </w:r>
      <w:proofErr w:type="spellStart"/>
      <w:r>
        <w:rPr>
          <w:rFonts w:ascii="Times New Roman" w:hAnsi="Times New Roman"/>
          <w:sz w:val="28"/>
          <w:szCs w:val="28"/>
        </w:rPr>
        <w:t>екомоніторинту</w:t>
      </w:r>
      <w:proofErr w:type="spellEnd"/>
      <w:r>
        <w:rPr>
          <w:rFonts w:ascii="Times New Roman" w:hAnsi="Times New Roman"/>
          <w:sz w:val="28"/>
          <w:szCs w:val="28"/>
        </w:rPr>
        <w:t xml:space="preserve"> вмісту інсектицидів у довкіллі за умов сучасних інтенсивних систем ведення сільського господарства. Його реалізація може слугувати запорукою екологічної безпеки власників присадибних ділянок. Встановлено, що після застосування на присадибній ділянці інсектициду </w:t>
      </w:r>
      <w:proofErr w:type="spellStart"/>
      <w:r>
        <w:rPr>
          <w:rFonts w:ascii="Times New Roman" w:hAnsi="Times New Roman"/>
          <w:sz w:val="28"/>
          <w:szCs w:val="28"/>
        </w:rPr>
        <w:t>Жукомор</w:t>
      </w:r>
      <w:proofErr w:type="spellEnd"/>
      <w:r>
        <w:rPr>
          <w:rFonts w:ascii="Times New Roman" w:hAnsi="Times New Roman"/>
          <w:sz w:val="28"/>
          <w:szCs w:val="28"/>
        </w:rPr>
        <w:t xml:space="preserve"> плоди шовковиці, що росте поблизу, є безпечними для вживання на 9-ту добу, </w:t>
      </w:r>
      <w:proofErr w:type="spellStart"/>
      <w:r>
        <w:rPr>
          <w:rFonts w:ascii="Times New Roman" w:hAnsi="Times New Roman"/>
          <w:sz w:val="28"/>
          <w:szCs w:val="28"/>
        </w:rPr>
        <w:t>Децис</w:t>
      </w:r>
      <w:proofErr w:type="spellEnd"/>
      <w:r>
        <w:rPr>
          <w:rFonts w:ascii="Times New Roman" w:hAnsi="Times New Roman"/>
          <w:sz w:val="28"/>
          <w:szCs w:val="28"/>
        </w:rPr>
        <w:t xml:space="preserve"> –18-ту, </w:t>
      </w:r>
      <w:proofErr w:type="spellStart"/>
      <w:r>
        <w:rPr>
          <w:rFonts w:ascii="Times New Roman" w:hAnsi="Times New Roman"/>
          <w:sz w:val="28"/>
          <w:szCs w:val="28"/>
        </w:rPr>
        <w:t>Конфідор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 12-ту.</w:t>
      </w:r>
    </w:p>
    <w:p w:rsidR="00F217E5" w:rsidRDefault="00F217E5" w:rsidP="00F217E5">
      <w:pPr>
        <w:spacing w:after="0" w:line="240" w:lineRule="auto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Ключові слова: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біоіндикація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біомоніторинг</w:t>
      </w:r>
      <w:proofErr w:type="spellEnd"/>
      <w:r>
        <w:rPr>
          <w:rFonts w:ascii="Times New Roman" w:hAnsi="Times New Roman"/>
          <w:sz w:val="28"/>
          <w:szCs w:val="28"/>
        </w:rPr>
        <w:t>, біологічні тест-об’єкти, шовковичний шовкопряд, інсектициди.</w:t>
      </w:r>
    </w:p>
    <w:p w:rsidR="00F217E5" w:rsidRDefault="00F217E5" w:rsidP="00F217E5">
      <w:pPr>
        <w:spacing w:after="0" w:line="240" w:lineRule="auto"/>
        <w:ind w:firstLine="73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217E5" w:rsidRDefault="00F217E5" w:rsidP="00F217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Bioindication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of food safety of white mulberry (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Morus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alba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L.) fruits with the help of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Bombyx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mori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L.</w:t>
      </w:r>
    </w:p>
    <w:p w:rsidR="00F217E5" w:rsidRDefault="00F217E5" w:rsidP="00F217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Markina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 T. Yu.,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Sukhanova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 I. P.,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Brovdi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 A. A.,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Sukhanov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 S. V.</w:t>
      </w:r>
    </w:p>
    <w:p w:rsidR="00F217E5" w:rsidRDefault="00F217E5" w:rsidP="00F217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Uman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National University of Horticulture</w:t>
      </w:r>
    </w:p>
    <w:p w:rsidR="00F217E5" w:rsidRDefault="00F217E5" w:rsidP="00F21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 article presents the results of the application of insecticides content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bioindication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in the environment with the help of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Bombyx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mori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L. to estimate food safety of white mulberry fruits.</w:t>
      </w:r>
    </w:p>
    <w:p w:rsidR="00F217E5" w:rsidRDefault="00F217E5" w:rsidP="00F21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This tendency is a manifestation of a global problem on ecological monitoring of insecticides content in the environment under conditions of current intensive technologies applied in agriculture. Its implementation may serve as a guarantee of ecological safety of household plot owners.</w:t>
      </w:r>
    </w:p>
    <w:p w:rsidR="00F217E5" w:rsidRDefault="00F217E5" w:rsidP="00F21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It has been shown that on household plots the fruits of nearby growing white mulberry fruits are safe for use on the 9th day after the application of insecticide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Zhukomor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on the 18th day after the application of insecticide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Decis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and on the 12th day after the application of insecticide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Confidor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.</w:t>
      </w:r>
      <w:proofErr w:type="gramEnd"/>
    </w:p>
    <w:p w:rsidR="00F217E5" w:rsidRDefault="00F217E5" w:rsidP="00F21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Key words: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bioindication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biomonitoring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biological test objects,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Bombyx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mori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L., insecticides.</w:t>
      </w:r>
    </w:p>
    <w:p w:rsidR="00F217E5" w:rsidRDefault="00F217E5" w:rsidP="00F217E5">
      <w:pPr>
        <w:spacing w:after="0" w:line="240" w:lineRule="auto"/>
        <w:ind w:firstLine="73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217E5" w:rsidRDefault="00F217E5" w:rsidP="00F217E5">
      <w:pPr>
        <w:spacing w:after="0" w:line="240" w:lineRule="auto"/>
        <w:ind w:firstLine="73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217E5" w:rsidRDefault="00F217E5" w:rsidP="00F217E5">
      <w:pPr>
        <w:spacing w:after="0" w:line="240" w:lineRule="auto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Вступ.</w:t>
      </w:r>
      <w:r>
        <w:rPr>
          <w:rFonts w:ascii="Times New Roman" w:hAnsi="Times New Roman"/>
          <w:sz w:val="28"/>
          <w:szCs w:val="28"/>
        </w:rPr>
        <w:t xml:space="preserve"> Серед сучасних антропогенних чинників дестабілізації різнорівневих екосистем не останнє місце займає використання пестицидів [3]. При цьому інсектициди є одними із найбільш широко застосовуваних пестицидів у сучасній системі ведення інтенсивного сільського господарства </w:t>
      </w:r>
      <w:r>
        <w:rPr>
          <w:rFonts w:ascii="Times New Roman" w:hAnsi="Times New Roman"/>
          <w:sz w:val="28"/>
          <w:szCs w:val="28"/>
        </w:rPr>
        <w:lastRenderedPageBreak/>
        <w:t>[2, 6]. Попри завіряння виробників даних препаратів щодо їх «екологічності» та відносної безпеки для людини, однозначно стверджувати цей факт неможливо. Особливо з огляду на структурно-функціональну єдність усього живого і, відповідно, єдині шляхи реалізації генетичних програм на всіх рівнях його організації.</w:t>
      </w:r>
    </w:p>
    <w:p w:rsidR="00F217E5" w:rsidRDefault="00F217E5" w:rsidP="00F217E5">
      <w:pPr>
        <w:pStyle w:val="a4"/>
        <w:spacing w:before="0" w:beforeAutospacing="0" w:after="0" w:afterAutospacing="0"/>
        <w:ind w:firstLine="73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Окрім глобальної проблеми моніторингу вмісту інсектицидів у всіх продуктах харчової промисловості, існують не менш значимі проблеми, хоча і більш низького порядку – моніторинг їх вмісту у продуктах, які вироблені приватними власниками на їх присадибних ділянках. </w:t>
      </w:r>
    </w:p>
    <w:p w:rsidR="00F217E5" w:rsidRDefault="00F217E5" w:rsidP="00F217E5">
      <w:pPr>
        <w:pStyle w:val="a4"/>
        <w:spacing w:before="0" w:beforeAutospacing="0" w:after="0" w:afterAutospacing="0"/>
        <w:ind w:firstLine="73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Найважливішою складовою частиною екологічного моніторингу довкілля і його складових є </w:t>
      </w:r>
      <w:proofErr w:type="spellStart"/>
      <w:r>
        <w:rPr>
          <w:sz w:val="28"/>
          <w:szCs w:val="28"/>
          <w:lang w:val="uk-UA"/>
        </w:rPr>
        <w:t>біомоніторинг</w:t>
      </w:r>
      <w:proofErr w:type="spellEnd"/>
      <w:r>
        <w:rPr>
          <w:sz w:val="28"/>
          <w:szCs w:val="28"/>
          <w:lang w:val="uk-UA"/>
        </w:rPr>
        <w:t xml:space="preserve"> – система спостережень, оцінки і прогнозу різноманітних змін в біоті, зумовлених факторами антропогенного походження. </w:t>
      </w:r>
      <w:proofErr w:type="spellStart"/>
      <w:r>
        <w:rPr>
          <w:sz w:val="28"/>
          <w:szCs w:val="28"/>
          <w:lang w:val="uk-UA"/>
        </w:rPr>
        <w:t>Біомоніторинг</w:t>
      </w:r>
      <w:proofErr w:type="spellEnd"/>
      <w:r>
        <w:rPr>
          <w:sz w:val="28"/>
          <w:szCs w:val="28"/>
          <w:lang w:val="uk-UA"/>
        </w:rPr>
        <w:t xml:space="preserve"> робить можливою пряму оцінку якості середовища і є одним із рівнів послідовного процесу вивчення здоров’я екосистеми. </w:t>
      </w:r>
    </w:p>
    <w:p w:rsidR="00F217E5" w:rsidRDefault="00F217E5" w:rsidP="00F217E5">
      <w:pPr>
        <w:pStyle w:val="a4"/>
        <w:spacing w:before="0" w:beforeAutospacing="0" w:after="0" w:afterAutospacing="0"/>
        <w:ind w:firstLine="73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іншого визначення – </w:t>
      </w:r>
      <w:proofErr w:type="spellStart"/>
      <w:r>
        <w:rPr>
          <w:sz w:val="28"/>
          <w:szCs w:val="28"/>
          <w:lang w:val="uk-UA"/>
        </w:rPr>
        <w:t>біомоніторинг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біоіндикація</w:t>
      </w:r>
      <w:proofErr w:type="spellEnd"/>
      <w:r>
        <w:rPr>
          <w:sz w:val="28"/>
          <w:szCs w:val="28"/>
          <w:lang w:val="uk-UA"/>
        </w:rPr>
        <w:t xml:space="preserve">) – це визначення біологічно значущих навантажень на основі реакцій на них живих організмів і їх співтовариств, а </w:t>
      </w:r>
      <w:proofErr w:type="spellStart"/>
      <w:r>
        <w:rPr>
          <w:sz w:val="28"/>
          <w:szCs w:val="28"/>
          <w:lang w:val="uk-UA"/>
        </w:rPr>
        <w:t>біотестування</w:t>
      </w:r>
      <w:proofErr w:type="spellEnd"/>
      <w:r>
        <w:rPr>
          <w:sz w:val="28"/>
          <w:szCs w:val="28"/>
          <w:lang w:val="uk-UA"/>
        </w:rPr>
        <w:t xml:space="preserve"> – це використання в контрольованих умовах біологічних об’єктів (тест-об’єктів) для виявлення і оцінки дії чинників навколишнього середовища на організм, його окрему функцію або систему [4]. </w:t>
      </w:r>
    </w:p>
    <w:p w:rsidR="00F217E5" w:rsidRDefault="00F217E5" w:rsidP="00F217E5">
      <w:pPr>
        <w:spacing w:after="0" w:line="240" w:lineRule="auto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 біологічний тест-об’єкт можуть бути використані </w:t>
      </w:r>
      <w:proofErr w:type="spellStart"/>
      <w:r>
        <w:rPr>
          <w:rFonts w:ascii="Times New Roman" w:hAnsi="Times New Roman"/>
          <w:sz w:val="28"/>
          <w:szCs w:val="28"/>
        </w:rPr>
        <w:t>гусениці-«мураші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Bombyx</w:t>
      </w:r>
      <w:proofErr w:type="spellEnd"/>
      <w:r w:rsidRPr="00F217E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mori</w:t>
      </w:r>
      <w:proofErr w:type="spellEnd"/>
      <w:r w:rsidRPr="00F217E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Це має велике практичне значення. Особливо в екстремальних ситуаціях, коли за поведінковою реакцією можна терміново визначити факт токсичного забруднення водного середовища, при контролі роботи очисних споруджень, на водозаборах, у рейсових експедиціях, при масовій загибелі риб, у </w:t>
      </w:r>
      <w:proofErr w:type="spellStart"/>
      <w:r>
        <w:rPr>
          <w:rFonts w:ascii="Times New Roman" w:hAnsi="Times New Roman"/>
          <w:sz w:val="28"/>
          <w:szCs w:val="28"/>
        </w:rPr>
        <w:t>медико-токсилогічних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дослідженнях – як попередній аналіз без використання теплокровних тварин, згідно останніх вимог біоетики.</w:t>
      </w:r>
    </w:p>
    <w:p w:rsidR="00F217E5" w:rsidRDefault="00F217E5" w:rsidP="00F217E5">
      <w:pPr>
        <w:spacing w:after="0" w:line="240" w:lineRule="auto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Bombyx</w:t>
      </w:r>
      <w:proofErr w:type="spellEnd"/>
      <w:r w:rsidRPr="00F217E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mori</w:t>
      </w:r>
      <w:proofErr w:type="spellEnd"/>
      <w:r w:rsidRPr="00F217E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/>
          <w:i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як біологічний тест-об’єкт, може бути використаний і при екологічній оцінці забруднення середовища інсектицидами.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217E5" w:rsidRDefault="00F217E5" w:rsidP="00F217E5">
      <w:pPr>
        <w:spacing w:after="0" w:line="240" w:lineRule="auto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Моніторинг інсектицидів за допомогою організмів-індикаторів, має ряд переваг перед хімічними методами і ґрунтується на визначенні рівня смертності або інших фізіологічних реакціях </w:t>
      </w:r>
      <w:proofErr w:type="spellStart"/>
      <w:r>
        <w:rPr>
          <w:rFonts w:ascii="Times New Roman" w:hAnsi="Times New Roman"/>
          <w:sz w:val="28"/>
          <w:szCs w:val="28"/>
        </w:rPr>
        <w:t>організмів-біоіндикаторів</w:t>
      </w:r>
      <w:proofErr w:type="spellEnd"/>
      <w:r>
        <w:rPr>
          <w:rFonts w:ascii="Times New Roman" w:hAnsi="Times New Roman"/>
          <w:sz w:val="28"/>
          <w:szCs w:val="28"/>
        </w:rPr>
        <w:t>. До переваг відноситься:</w:t>
      </w:r>
    </w:p>
    <w:p w:rsidR="00F217E5" w:rsidRDefault="00F217E5" w:rsidP="00F217E5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висока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чутливість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методу не </w:t>
      </w:r>
      <w:proofErr w:type="spellStart"/>
      <w:r>
        <w:rPr>
          <w:rFonts w:ascii="Times New Roman" w:hAnsi="Times New Roman"/>
          <w:sz w:val="28"/>
          <w:szCs w:val="28"/>
        </w:rPr>
        <w:t>залежить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стану </w:t>
      </w:r>
      <w:proofErr w:type="spellStart"/>
      <w:r>
        <w:rPr>
          <w:rFonts w:ascii="Times New Roman" w:hAnsi="Times New Roman"/>
          <w:sz w:val="28"/>
          <w:szCs w:val="28"/>
        </w:rPr>
        <w:t>інсектициду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субстраті</w:t>
      </w:r>
      <w:proofErr w:type="spellEnd"/>
      <w:r>
        <w:rPr>
          <w:rFonts w:ascii="Times New Roman" w:hAnsi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</w:rPr>
        <w:t>разі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збереження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дериватами (продуктами </w:t>
      </w:r>
      <w:proofErr w:type="spellStart"/>
      <w:r>
        <w:rPr>
          <w:rFonts w:ascii="Times New Roman" w:hAnsi="Times New Roman"/>
          <w:sz w:val="28"/>
          <w:szCs w:val="28"/>
        </w:rPr>
        <w:t>метаболізму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організмів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токсичних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властивостей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217E5" w:rsidRDefault="00F217E5" w:rsidP="00F217E5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методика </w:t>
      </w:r>
      <w:proofErr w:type="spellStart"/>
      <w:r>
        <w:rPr>
          <w:rFonts w:ascii="Times New Roman" w:hAnsi="Times New Roman"/>
          <w:sz w:val="28"/>
          <w:szCs w:val="28"/>
        </w:rPr>
        <w:t>відносно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маловитратна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217E5" w:rsidRDefault="00F217E5" w:rsidP="00F217E5">
      <w:pPr>
        <w:tabs>
          <w:tab w:val="left" w:pos="3570"/>
        </w:tabs>
        <w:spacing w:after="0" w:line="240" w:lineRule="auto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Метою </w:t>
      </w:r>
      <w:r>
        <w:rPr>
          <w:rFonts w:ascii="Times New Roman" w:hAnsi="Times New Roman"/>
          <w:sz w:val="28"/>
          <w:szCs w:val="28"/>
        </w:rPr>
        <w:t>нашого дослідження була оцінка харчової безпеки плодів шовковиці білої (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Morus</w:t>
      </w:r>
      <w:proofErr w:type="spellEnd"/>
      <w:r w:rsidRPr="00F217E5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alba</w:t>
      </w:r>
      <w:r w:rsidRPr="00F217E5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) у разі використання поблизу її насаджень поширених інсектицидів методом </w:t>
      </w:r>
      <w:proofErr w:type="spellStart"/>
      <w:r>
        <w:rPr>
          <w:rFonts w:ascii="Times New Roman" w:hAnsi="Times New Roman"/>
          <w:sz w:val="28"/>
          <w:szCs w:val="28"/>
        </w:rPr>
        <w:t>біоіндикації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їх вмісту у листі шовковиці за допомогою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Bombyx</w:t>
      </w:r>
      <w:proofErr w:type="spellEnd"/>
      <w:r w:rsidRPr="00F217E5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mori</w:t>
      </w:r>
      <w:proofErr w:type="spellEnd"/>
      <w:r w:rsidRPr="00F217E5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217E5" w:rsidRDefault="00F217E5" w:rsidP="00F217E5">
      <w:pPr>
        <w:tabs>
          <w:tab w:val="left" w:pos="3570"/>
        </w:tabs>
        <w:spacing w:after="0" w:line="240" w:lineRule="auto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досягнення поставленої мети вирішувались наступні завдання:</w:t>
      </w:r>
    </w:p>
    <w:p w:rsidR="00F217E5" w:rsidRDefault="00F217E5" w:rsidP="00F217E5">
      <w:pPr>
        <w:numPr>
          <w:ilvl w:val="0"/>
          <w:numId w:val="2"/>
        </w:numPr>
        <w:tabs>
          <w:tab w:val="clear" w:pos="1429"/>
          <w:tab w:val="num" w:pos="993"/>
          <w:tab w:val="left" w:pos="3570"/>
        </w:tabs>
        <w:spacing w:after="0" w:line="240" w:lineRule="auto"/>
        <w:ind w:lef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Засвоєння методики </w:t>
      </w:r>
      <w:proofErr w:type="spellStart"/>
      <w:r>
        <w:rPr>
          <w:rFonts w:ascii="Times New Roman" w:hAnsi="Times New Roman"/>
          <w:sz w:val="28"/>
          <w:szCs w:val="28"/>
        </w:rPr>
        <w:t>біотестування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 допомогою </w:t>
      </w:r>
      <w:proofErr w:type="spellStart"/>
      <w:r>
        <w:rPr>
          <w:rFonts w:ascii="Times New Roman" w:hAnsi="Times New Roman"/>
          <w:sz w:val="28"/>
          <w:szCs w:val="28"/>
        </w:rPr>
        <w:t>гусениць-«мурашів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Bombyx</w:t>
      </w:r>
      <w:proofErr w:type="spellEnd"/>
      <w:r w:rsidRPr="00F217E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mori</w:t>
      </w:r>
      <w:proofErr w:type="spellEnd"/>
      <w:r w:rsidRPr="00F217E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F217E5" w:rsidRDefault="00F217E5" w:rsidP="00F217E5">
      <w:pPr>
        <w:numPr>
          <w:ilvl w:val="0"/>
          <w:numId w:val="2"/>
        </w:numPr>
        <w:tabs>
          <w:tab w:val="clear" w:pos="1429"/>
          <w:tab w:val="num" w:pos="993"/>
          <w:tab w:val="left" w:pos="3570"/>
        </w:tabs>
        <w:spacing w:after="0" w:line="240" w:lineRule="auto"/>
        <w:ind w:lef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Проведення оцінки забруднення листя шовковиці, яка росте поблизу місць застосування інсектицидів.</w:t>
      </w:r>
    </w:p>
    <w:p w:rsidR="00F217E5" w:rsidRDefault="00F217E5" w:rsidP="00F217E5">
      <w:pPr>
        <w:tabs>
          <w:tab w:val="left" w:pos="3570"/>
        </w:tabs>
        <w:spacing w:after="0" w:line="240" w:lineRule="auto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Об’єкт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дослідження</w:t>
      </w:r>
      <w:r>
        <w:rPr>
          <w:rFonts w:ascii="Times New Roman" w:hAnsi="Times New Roman"/>
          <w:sz w:val="28"/>
          <w:szCs w:val="28"/>
        </w:rPr>
        <w:t>: шовковичний шовкопряд (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Bombyx</w:t>
      </w:r>
      <w:proofErr w:type="spellEnd"/>
      <w:r w:rsidRPr="00F217E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mori</w:t>
      </w:r>
      <w:proofErr w:type="spellEnd"/>
      <w:r w:rsidRPr="00F217E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), як тест-об’єкт </w:t>
      </w:r>
      <w:proofErr w:type="spellStart"/>
      <w:r>
        <w:rPr>
          <w:rFonts w:ascii="Times New Roman" w:hAnsi="Times New Roman"/>
          <w:sz w:val="28"/>
          <w:szCs w:val="28"/>
        </w:rPr>
        <w:t>біоіндикації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217E5" w:rsidRDefault="00F217E5" w:rsidP="00F217E5">
      <w:pPr>
        <w:tabs>
          <w:tab w:val="left" w:pos="3570"/>
        </w:tabs>
        <w:spacing w:after="0" w:line="240" w:lineRule="auto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дослідження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біоіндикація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інсектицидів у довкіллі.</w:t>
      </w:r>
    </w:p>
    <w:p w:rsidR="00F217E5" w:rsidRDefault="00F217E5" w:rsidP="00F217E5">
      <w:pPr>
        <w:pStyle w:val="a5"/>
        <w:spacing w:after="0" w:line="240" w:lineRule="auto"/>
        <w:ind w:left="0" w:firstLine="737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Методика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досл</w:t>
      </w:r>
      <w:proofErr w:type="gramEnd"/>
      <w:r>
        <w:rPr>
          <w:rFonts w:ascii="Times New Roman" w:hAnsi="Times New Roman"/>
          <w:b/>
          <w:sz w:val="28"/>
          <w:szCs w:val="28"/>
        </w:rPr>
        <w:t>іджень</w:t>
      </w:r>
      <w:proofErr w:type="spellEnd"/>
      <w:r>
        <w:rPr>
          <w:rFonts w:ascii="Times New Roman" w:hAnsi="Times New Roman"/>
          <w:sz w:val="28"/>
          <w:szCs w:val="28"/>
        </w:rPr>
        <w:t xml:space="preserve">. Роботу проводили в </w:t>
      </w: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ільшанка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Кіровоградської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обл., на </w:t>
      </w:r>
      <w:proofErr w:type="spellStart"/>
      <w:r>
        <w:rPr>
          <w:rFonts w:ascii="Times New Roman" w:hAnsi="Times New Roman"/>
          <w:sz w:val="28"/>
          <w:szCs w:val="28"/>
        </w:rPr>
        <w:t>присадибній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ділянці</w:t>
      </w:r>
      <w:proofErr w:type="spellEnd"/>
      <w:r>
        <w:rPr>
          <w:rFonts w:ascii="Times New Roman" w:hAnsi="Times New Roman"/>
          <w:sz w:val="28"/>
          <w:szCs w:val="28"/>
        </w:rPr>
        <w:t xml:space="preserve"> А. Я. </w:t>
      </w:r>
      <w:proofErr w:type="spellStart"/>
      <w:r>
        <w:rPr>
          <w:rFonts w:ascii="Times New Roman" w:hAnsi="Times New Roman"/>
          <w:sz w:val="28"/>
          <w:szCs w:val="28"/>
        </w:rPr>
        <w:t>Бровді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Біоіндикацію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вмісту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інсектицидів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листі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шовковиці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>
        <w:rPr>
          <w:rFonts w:ascii="Times New Roman" w:hAnsi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харчової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плодів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проводили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методики </w:t>
      </w:r>
      <w:proofErr w:type="spellStart"/>
      <w:r>
        <w:rPr>
          <w:rFonts w:ascii="Times New Roman" w:hAnsi="Times New Roman"/>
          <w:sz w:val="28"/>
          <w:szCs w:val="28"/>
        </w:rPr>
        <w:t>біотестування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Bombix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mori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L</w:t>
      </w:r>
      <w:r>
        <w:rPr>
          <w:rFonts w:ascii="Times New Roman" w:hAnsi="Times New Roman"/>
          <w:sz w:val="28"/>
          <w:szCs w:val="28"/>
        </w:rPr>
        <w:t>. (порода Б-1 пол.) [1].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Суть способу </w:t>
      </w:r>
      <w:proofErr w:type="spellStart"/>
      <w:r>
        <w:rPr>
          <w:rFonts w:ascii="Times New Roman" w:hAnsi="Times New Roman"/>
          <w:sz w:val="28"/>
          <w:szCs w:val="28"/>
        </w:rPr>
        <w:t>полягає</w:t>
      </w:r>
      <w:proofErr w:type="spellEnd"/>
      <w:r>
        <w:rPr>
          <w:rFonts w:ascii="Times New Roman" w:hAnsi="Times New Roman"/>
          <w:sz w:val="28"/>
          <w:szCs w:val="28"/>
        </w:rPr>
        <w:t xml:space="preserve"> в тому,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гусениця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«мурашам» однократно, у день </w:t>
      </w:r>
      <w:proofErr w:type="spellStart"/>
      <w:r>
        <w:rPr>
          <w:rFonts w:ascii="Times New Roman" w:hAnsi="Times New Roman"/>
          <w:sz w:val="28"/>
          <w:szCs w:val="28"/>
        </w:rPr>
        <w:t>виходу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яєць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листя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шовковиці</w:t>
      </w:r>
      <w:proofErr w:type="spellEnd"/>
      <w:r>
        <w:rPr>
          <w:rFonts w:ascii="Times New Roman" w:hAnsi="Times New Roman"/>
          <w:sz w:val="28"/>
          <w:szCs w:val="28"/>
        </w:rPr>
        <w:t xml:space="preserve">, яке росте в </w:t>
      </w:r>
      <w:proofErr w:type="spellStart"/>
      <w:r>
        <w:rPr>
          <w:rFonts w:ascii="Times New Roman" w:hAnsi="Times New Roman"/>
          <w:sz w:val="28"/>
          <w:szCs w:val="28"/>
        </w:rPr>
        <w:t>зоні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забруднення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довкілля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інсектицидами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наступну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добу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визначають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відсоток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загиблих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порівнюють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контрольним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варіантом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листя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чистих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плантацій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F217E5" w:rsidRDefault="00F217E5" w:rsidP="00F217E5">
      <w:pPr>
        <w:spacing w:after="0" w:line="240" w:lineRule="auto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Цей спосіб моніторингу забруднення середовища інсектицидами високочутливий, технологічно простий і має безумовні перспективи для використання у </w:t>
      </w:r>
      <w:proofErr w:type="spellStart"/>
      <w:r>
        <w:rPr>
          <w:rFonts w:ascii="Times New Roman" w:hAnsi="Times New Roman"/>
          <w:sz w:val="28"/>
          <w:szCs w:val="28"/>
        </w:rPr>
        <w:t>весняно-літньо-осінній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період для </w:t>
      </w:r>
      <w:proofErr w:type="spellStart"/>
      <w:r>
        <w:rPr>
          <w:rFonts w:ascii="Times New Roman" w:hAnsi="Times New Roman"/>
          <w:sz w:val="28"/>
          <w:szCs w:val="28"/>
        </w:rPr>
        <w:t>біоіндикації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стану довкілля.</w:t>
      </w:r>
    </w:p>
    <w:p w:rsidR="00F217E5" w:rsidRDefault="00F217E5" w:rsidP="00F217E5">
      <w:pPr>
        <w:spacing w:after="0" w:line="240" w:lineRule="auto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ході наших досліджень листя шовковиці, розташованої на відстані 1 м від присадибної ділянки (насадження картоплі), де застосовували інсектициди, давали </w:t>
      </w:r>
      <w:proofErr w:type="spellStart"/>
      <w:r>
        <w:rPr>
          <w:rFonts w:ascii="Times New Roman" w:hAnsi="Times New Roman"/>
          <w:sz w:val="28"/>
          <w:szCs w:val="28"/>
        </w:rPr>
        <w:t>гусеницям-«мурашам</w:t>
      </w:r>
      <w:proofErr w:type="spellEnd"/>
      <w:r>
        <w:rPr>
          <w:rFonts w:ascii="Times New Roman" w:hAnsi="Times New Roman"/>
          <w:sz w:val="28"/>
          <w:szCs w:val="28"/>
        </w:rPr>
        <w:t xml:space="preserve">». Наявність інсектицидів в листі шовковиці визначали за показником загибелі гусениць (летальна для комахи доза). Обліки проводили від першої доби використання препаратів до відсутності інсектицидного ефекту. Використовували </w:t>
      </w:r>
      <w:proofErr w:type="spellStart"/>
      <w:r>
        <w:rPr>
          <w:rFonts w:ascii="Times New Roman" w:hAnsi="Times New Roman"/>
          <w:sz w:val="28"/>
          <w:szCs w:val="28"/>
        </w:rPr>
        <w:t>гусениць-«мурашів</w:t>
      </w:r>
      <w:proofErr w:type="spellEnd"/>
      <w:r>
        <w:rPr>
          <w:rFonts w:ascii="Times New Roman" w:hAnsi="Times New Roman"/>
          <w:sz w:val="28"/>
          <w:szCs w:val="28"/>
        </w:rPr>
        <w:t xml:space="preserve">» 1-го дня масового виходу, відповідно розрахувавши день постановки грени на інкубацію. Інкубацію грени проводили відповідно загальноприйнятій методиці [6]. Повторність досліду трикратна, по 50 </w:t>
      </w:r>
      <w:proofErr w:type="spellStart"/>
      <w:r>
        <w:rPr>
          <w:rFonts w:ascii="Times New Roman" w:hAnsi="Times New Roman"/>
          <w:sz w:val="28"/>
          <w:szCs w:val="28"/>
        </w:rPr>
        <w:t>гусениць-«мурашів</w:t>
      </w:r>
      <w:proofErr w:type="spellEnd"/>
      <w:r>
        <w:rPr>
          <w:rFonts w:ascii="Times New Roman" w:hAnsi="Times New Roman"/>
          <w:sz w:val="28"/>
          <w:szCs w:val="28"/>
        </w:rPr>
        <w:t xml:space="preserve">» в кожній. </w:t>
      </w:r>
    </w:p>
    <w:p w:rsidR="00F217E5" w:rsidRDefault="00F217E5" w:rsidP="00F217E5">
      <w:pPr>
        <w:spacing w:after="0" w:line="240" w:lineRule="auto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досліджені використовували інсектициди, які дозволено для використання і роздрібного продажу населенню на території України [5]: </w:t>
      </w:r>
    </w:p>
    <w:p w:rsidR="00F217E5" w:rsidRDefault="00F217E5" w:rsidP="00F217E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3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Децис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Профі</w:t>
      </w:r>
      <w:proofErr w:type="spellEnd"/>
      <w:r>
        <w:rPr>
          <w:rFonts w:ascii="Times New Roman" w:hAnsi="Times New Roman"/>
          <w:sz w:val="28"/>
          <w:szCs w:val="28"/>
        </w:rPr>
        <w:t xml:space="preserve"> 25 </w:t>
      </w:r>
      <w:r>
        <w:rPr>
          <w:rFonts w:ascii="Times New Roman" w:hAnsi="Times New Roman"/>
          <w:sz w:val="28"/>
          <w:szCs w:val="28"/>
          <w:lang w:val="en-US"/>
        </w:rPr>
        <w:t>WG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дельтаметрин</w:t>
      </w:r>
      <w:proofErr w:type="spellEnd"/>
      <w:r>
        <w:rPr>
          <w:rFonts w:ascii="Times New Roman" w:hAnsi="Times New Roman"/>
          <w:sz w:val="28"/>
          <w:szCs w:val="28"/>
        </w:rPr>
        <w:t xml:space="preserve">, 250 г/кг (синтетичний </w:t>
      </w:r>
      <w:proofErr w:type="spellStart"/>
      <w:r>
        <w:rPr>
          <w:rFonts w:ascii="Times New Roman" w:hAnsi="Times New Roman"/>
          <w:sz w:val="28"/>
          <w:szCs w:val="28"/>
        </w:rPr>
        <w:t>піретроїд</w:t>
      </w:r>
      <w:proofErr w:type="spellEnd"/>
      <w:r>
        <w:rPr>
          <w:rFonts w:ascii="Times New Roman" w:hAnsi="Times New Roman"/>
          <w:sz w:val="28"/>
          <w:szCs w:val="28"/>
        </w:rPr>
        <w:t>)) – препарат контактно-кишкової дії – вражає шкідника, впливаючи на його нервову систему, коли потрапляє на поверхню тіла або при харчуванні листям оброблених рослин [9];</w:t>
      </w:r>
    </w:p>
    <w:p w:rsidR="00F217E5" w:rsidRDefault="00F217E5" w:rsidP="00F217E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3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Жукомор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імідаклоприд</w:t>
      </w:r>
      <w:proofErr w:type="spellEnd"/>
      <w:r>
        <w:rPr>
          <w:rFonts w:ascii="Times New Roman" w:hAnsi="Times New Roman"/>
          <w:sz w:val="28"/>
          <w:szCs w:val="28"/>
        </w:rPr>
        <w:t xml:space="preserve"> 100 г/л + </w:t>
      </w:r>
      <w:proofErr w:type="spellStart"/>
      <w:r>
        <w:rPr>
          <w:rFonts w:ascii="Times New Roman" w:hAnsi="Times New Roman"/>
          <w:sz w:val="28"/>
          <w:szCs w:val="28"/>
        </w:rPr>
        <w:t>піпероніл-бутоксид</w:t>
      </w:r>
      <w:proofErr w:type="spellEnd"/>
      <w:r>
        <w:rPr>
          <w:rFonts w:ascii="Times New Roman" w:hAnsi="Times New Roman"/>
          <w:sz w:val="28"/>
          <w:szCs w:val="28"/>
        </w:rPr>
        <w:t xml:space="preserve"> 50 г/л) – </w:t>
      </w:r>
      <w:proofErr w:type="spellStart"/>
      <w:r>
        <w:rPr>
          <w:rFonts w:ascii="Times New Roman" w:hAnsi="Times New Roman"/>
          <w:sz w:val="28"/>
          <w:szCs w:val="28"/>
        </w:rPr>
        <w:t>імідаклоприд</w:t>
      </w:r>
      <w:proofErr w:type="spellEnd"/>
      <w:r>
        <w:rPr>
          <w:rFonts w:ascii="Times New Roman" w:hAnsi="Times New Roman"/>
          <w:sz w:val="28"/>
          <w:szCs w:val="28"/>
        </w:rPr>
        <w:t xml:space="preserve"> має системну (здатен проникати в провідну систему рослин і робити її токсичною) і </w:t>
      </w:r>
      <w:proofErr w:type="spellStart"/>
      <w:r>
        <w:rPr>
          <w:rFonts w:ascii="Times New Roman" w:hAnsi="Times New Roman"/>
          <w:sz w:val="28"/>
          <w:szCs w:val="28"/>
        </w:rPr>
        <w:t>контакно-кишкову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дію; </w:t>
      </w:r>
      <w:proofErr w:type="spellStart"/>
      <w:r>
        <w:rPr>
          <w:rFonts w:ascii="Times New Roman" w:hAnsi="Times New Roman"/>
          <w:sz w:val="28"/>
          <w:szCs w:val="28"/>
        </w:rPr>
        <w:t>піпероніл-бутоксид</w:t>
      </w:r>
      <w:proofErr w:type="spellEnd"/>
      <w:r>
        <w:rPr>
          <w:rFonts w:ascii="Times New Roman" w:hAnsi="Times New Roman"/>
          <w:sz w:val="28"/>
          <w:szCs w:val="28"/>
        </w:rPr>
        <w:t xml:space="preserve"> – послаблює імунітет і порушує процеси життєдіяльності колорадського жука [10, 11]; </w:t>
      </w:r>
    </w:p>
    <w:p w:rsidR="00F217E5" w:rsidRDefault="00F217E5" w:rsidP="00F217E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3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Конфідор</w:t>
      </w:r>
      <w:proofErr w:type="spellEnd"/>
      <w:r>
        <w:rPr>
          <w:rFonts w:ascii="Times New Roman" w:hAnsi="Times New Roman"/>
          <w:sz w:val="28"/>
          <w:szCs w:val="28"/>
        </w:rPr>
        <w:t xml:space="preserve"> Максі (</w:t>
      </w:r>
      <w:proofErr w:type="spellStart"/>
      <w:r>
        <w:rPr>
          <w:rFonts w:ascii="Times New Roman" w:hAnsi="Times New Roman"/>
          <w:sz w:val="28"/>
          <w:szCs w:val="28"/>
        </w:rPr>
        <w:t>імідаклоприд</w:t>
      </w:r>
      <w:proofErr w:type="spellEnd"/>
      <w:r>
        <w:rPr>
          <w:rFonts w:ascii="Times New Roman" w:hAnsi="Times New Roman"/>
          <w:sz w:val="28"/>
          <w:szCs w:val="28"/>
        </w:rPr>
        <w:t xml:space="preserve"> 700 г/кг (</w:t>
      </w:r>
      <w:proofErr w:type="spellStart"/>
      <w:r>
        <w:rPr>
          <w:rFonts w:ascii="Times New Roman" w:hAnsi="Times New Roman"/>
          <w:sz w:val="28"/>
          <w:szCs w:val="28"/>
        </w:rPr>
        <w:t>неоникотиноїд</w:t>
      </w:r>
      <w:proofErr w:type="spellEnd"/>
      <w:r>
        <w:rPr>
          <w:rFonts w:ascii="Times New Roman" w:hAnsi="Times New Roman"/>
          <w:sz w:val="28"/>
          <w:szCs w:val="28"/>
        </w:rPr>
        <w:t>)) – препарат системної та контактно-кишкової дії [8].</w:t>
      </w:r>
    </w:p>
    <w:p w:rsidR="00F217E5" w:rsidRDefault="00F217E5" w:rsidP="00F217E5">
      <w:pPr>
        <w:spacing w:after="0" w:line="240" w:lineRule="auto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 контролі гусеницям згодовували лист шовковиці з лісосмуги, яка знаходилася на відстані 2 км від найближчої зони забруднення. </w:t>
      </w:r>
    </w:p>
    <w:p w:rsidR="00F217E5" w:rsidRDefault="00F217E5" w:rsidP="00F217E5">
      <w:pPr>
        <w:spacing w:after="0" w:line="240" w:lineRule="auto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Результати досліджень.</w:t>
      </w:r>
      <w:r>
        <w:rPr>
          <w:rFonts w:ascii="Times New Roman" w:hAnsi="Times New Roman"/>
          <w:sz w:val="28"/>
          <w:szCs w:val="28"/>
        </w:rPr>
        <w:t xml:space="preserve"> Встановлено, що в першу добу використання на присадибній ділянці інсектициду </w:t>
      </w:r>
      <w:proofErr w:type="spellStart"/>
      <w:r>
        <w:rPr>
          <w:rFonts w:ascii="Times New Roman" w:hAnsi="Times New Roman"/>
          <w:sz w:val="28"/>
          <w:szCs w:val="28"/>
        </w:rPr>
        <w:t>Жукомор</w:t>
      </w:r>
      <w:proofErr w:type="spellEnd"/>
      <w:r>
        <w:rPr>
          <w:rFonts w:ascii="Times New Roman" w:hAnsi="Times New Roman"/>
          <w:sz w:val="28"/>
          <w:szCs w:val="28"/>
        </w:rPr>
        <w:t xml:space="preserve"> (рис. 1), після згодовування листя шовковиці, що росте поблизу місця застосування препарату, загинуло 99,3 % гусениць. Далі загибель гусениць поступово знижувалась від 93,33 % (2-га доба після обробки) до 22 % (7 доба). Відсутність летального ефекту виявлено вже на 9-ту добу досліджень. </w:t>
      </w:r>
    </w:p>
    <w:p w:rsidR="00F217E5" w:rsidRDefault="00F217E5" w:rsidP="00F217E5">
      <w:pPr>
        <w:spacing w:after="0" w:line="240" w:lineRule="auto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використанні </w:t>
      </w:r>
      <w:proofErr w:type="spellStart"/>
      <w:r>
        <w:rPr>
          <w:rFonts w:ascii="Times New Roman" w:hAnsi="Times New Roman"/>
          <w:sz w:val="28"/>
          <w:szCs w:val="28"/>
        </w:rPr>
        <w:t>Децису</w:t>
      </w:r>
      <w:proofErr w:type="spellEnd"/>
      <w:r>
        <w:rPr>
          <w:rFonts w:ascii="Times New Roman" w:hAnsi="Times New Roman"/>
          <w:sz w:val="28"/>
          <w:szCs w:val="28"/>
        </w:rPr>
        <w:t xml:space="preserve"> виявлено більш тривала дія препарату на </w:t>
      </w:r>
      <w:proofErr w:type="spellStart"/>
      <w:r>
        <w:rPr>
          <w:rFonts w:ascii="Times New Roman" w:hAnsi="Times New Roman"/>
          <w:sz w:val="28"/>
          <w:szCs w:val="28"/>
        </w:rPr>
        <w:t>гусениць-«мурашів</w:t>
      </w:r>
      <w:proofErr w:type="spellEnd"/>
      <w:r>
        <w:rPr>
          <w:rFonts w:ascii="Times New Roman" w:hAnsi="Times New Roman"/>
          <w:sz w:val="28"/>
          <w:szCs w:val="28"/>
        </w:rPr>
        <w:t xml:space="preserve">» – від 99,3 % загиблих (1-ша доба досліджень) до 59, 7 % (9-та доба). Повне згасання смертності відмічено лише на 18 добу досліджень (див. рис. 1). А при застосуванні препарату </w:t>
      </w:r>
      <w:proofErr w:type="spellStart"/>
      <w:r>
        <w:rPr>
          <w:rFonts w:ascii="Times New Roman" w:hAnsi="Times New Roman"/>
          <w:sz w:val="28"/>
          <w:szCs w:val="28"/>
        </w:rPr>
        <w:t>Конфідор</w:t>
      </w:r>
      <w:proofErr w:type="spellEnd"/>
      <w:r>
        <w:rPr>
          <w:rFonts w:ascii="Times New Roman" w:hAnsi="Times New Roman"/>
          <w:sz w:val="28"/>
          <w:szCs w:val="28"/>
        </w:rPr>
        <w:t xml:space="preserve"> виявлений найнижчий інсектицидний ефект щодо гусениць шовкопряда – загибель в 1-шу добу склала лише 42,7 %. Повне згасання настало на 12-ту добу спостережень.</w:t>
      </w:r>
    </w:p>
    <w:p w:rsidR="00F217E5" w:rsidRDefault="00F217E5" w:rsidP="00F217E5">
      <w:pPr>
        <w:spacing w:after="0" w:line="240" w:lineRule="auto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метою перевірки найбільш вірогідної причини попадання інсектицидів на шовковицю (переніс вітром) при їх застосуванні на прилеглих територіях проведено безпосередню обробку розчинами препаратів листя шовковиці. В разі спів падання результатів обох варіантів дослідження дане припущення буде достатньо вірогідним. Встановлено (рис. 2), що в даному випадку, найбільш агресивним щодо гусениць шовкопряда був </w:t>
      </w:r>
      <w:proofErr w:type="spellStart"/>
      <w:r>
        <w:rPr>
          <w:rFonts w:ascii="Times New Roman" w:hAnsi="Times New Roman"/>
          <w:sz w:val="28"/>
          <w:szCs w:val="28"/>
        </w:rPr>
        <w:t>Децис</w:t>
      </w:r>
      <w:proofErr w:type="spellEnd"/>
      <w:r>
        <w:rPr>
          <w:rFonts w:ascii="Times New Roman" w:hAnsi="Times New Roman"/>
          <w:sz w:val="28"/>
          <w:szCs w:val="28"/>
        </w:rPr>
        <w:t xml:space="preserve">. Виявлено навіть зростання їх загибелі від 90, 7 % в 1-шу добу дослідження до 98,3 % – на 9-ту. В подальшому, до 18-ої доби, показник загибелі практично не знижувався. Отже,окрім перенесення вітром розчину препарату в день його застосування, існують й інші фактори, що впливають на рівень його </w:t>
      </w:r>
      <w:proofErr w:type="spellStart"/>
      <w:r>
        <w:rPr>
          <w:rFonts w:ascii="Times New Roman" w:hAnsi="Times New Roman"/>
          <w:sz w:val="28"/>
          <w:szCs w:val="28"/>
        </w:rPr>
        <w:t>інсектицидності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за різних умов застосування. Динаміка загибелі гусениць в разі застосування </w:t>
      </w:r>
      <w:proofErr w:type="spellStart"/>
      <w:r>
        <w:rPr>
          <w:rFonts w:ascii="Times New Roman" w:hAnsi="Times New Roman"/>
          <w:sz w:val="28"/>
          <w:szCs w:val="28"/>
        </w:rPr>
        <w:t>Жукомору</w:t>
      </w:r>
      <w:proofErr w:type="spellEnd"/>
      <w:r>
        <w:rPr>
          <w:rFonts w:ascii="Times New Roman" w:hAnsi="Times New Roman"/>
          <w:sz w:val="28"/>
          <w:szCs w:val="28"/>
        </w:rPr>
        <w:t xml:space="preserve"> практично співпадала з попереднім варіантом досліджень (при застосуванні на присадибній ділянці) – від 100 % у 1-шу добу до 20,7 % – на 7-му. Щодо </w:t>
      </w:r>
      <w:proofErr w:type="spellStart"/>
      <w:r>
        <w:rPr>
          <w:rFonts w:ascii="Times New Roman" w:hAnsi="Times New Roman"/>
          <w:sz w:val="28"/>
          <w:szCs w:val="28"/>
        </w:rPr>
        <w:t>Конфідору</w:t>
      </w:r>
      <w:proofErr w:type="spellEnd"/>
      <w:r>
        <w:rPr>
          <w:rFonts w:ascii="Times New Roman" w:hAnsi="Times New Roman"/>
          <w:sz w:val="28"/>
          <w:szCs w:val="28"/>
        </w:rPr>
        <w:t>, то загибель гусениць з 1-ої по 9-ту добу спостережень знижувалась лише на 11 % (від 96,7 до 85,7 %). При цьому інсектицидна дія препарату була більш агресивною, порівняно з варіантом його застосування на прилеглій ділянці. Очевидно, це пов’язано з неконтрольованими умовами попереднього варіанту досліджень, а саме силою вітру.</w:t>
      </w:r>
    </w:p>
    <w:p w:rsidR="00F217E5" w:rsidRDefault="00F217E5" w:rsidP="00F217E5">
      <w:pPr>
        <w:spacing w:after="0" w:line="240" w:lineRule="auto"/>
        <w:ind w:left="1560" w:hanging="156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953125" cy="2533650"/>
            <wp:effectExtent l="0" t="0" r="0" b="0"/>
            <wp:docPr id="1" name="Объект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217E5" w:rsidRDefault="00F217E5" w:rsidP="00F217E5">
      <w:pPr>
        <w:spacing w:after="0" w:line="240" w:lineRule="auto"/>
        <w:ind w:left="1560" w:hanging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Рис. 1. Динаміка загибелі гусениць шовкопряда у випадку застосування на присадибній ділянці інсектицидів </w:t>
      </w:r>
      <w:proofErr w:type="spellStart"/>
      <w:r>
        <w:rPr>
          <w:rFonts w:ascii="Times New Roman" w:hAnsi="Times New Roman"/>
          <w:sz w:val="28"/>
          <w:szCs w:val="28"/>
        </w:rPr>
        <w:t>Жукомор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Децис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Конфідор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217E5" w:rsidRDefault="00F217E5" w:rsidP="00F217E5">
      <w:pPr>
        <w:spacing w:after="0" w:line="240" w:lineRule="auto"/>
        <w:ind w:firstLine="737"/>
        <w:jc w:val="center"/>
        <w:rPr>
          <w:rFonts w:ascii="Times New Roman" w:hAnsi="Times New Roman"/>
          <w:sz w:val="28"/>
          <w:szCs w:val="28"/>
        </w:rPr>
      </w:pPr>
    </w:p>
    <w:p w:rsidR="00F217E5" w:rsidRDefault="00F217E5" w:rsidP="00F217E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6019800" cy="2571750"/>
            <wp:effectExtent l="0" t="0" r="0" b="0"/>
            <wp:docPr id="2" name="Объект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217E5" w:rsidRDefault="00F217E5" w:rsidP="00F217E5">
      <w:pPr>
        <w:spacing w:after="0" w:line="240" w:lineRule="auto"/>
        <w:ind w:left="1560" w:hanging="82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Рис. 2. Динаміка загибелі гусениць шовкопряда у випадку безпосередньої обробки шовковиці інсектицидами </w:t>
      </w:r>
      <w:proofErr w:type="spellStart"/>
      <w:r>
        <w:rPr>
          <w:rFonts w:ascii="Times New Roman" w:hAnsi="Times New Roman"/>
          <w:sz w:val="28"/>
          <w:szCs w:val="28"/>
        </w:rPr>
        <w:t>Жукомор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Децис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Конфідор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217E5" w:rsidRDefault="00F217E5" w:rsidP="00F217E5">
      <w:pPr>
        <w:spacing w:after="0" w:line="240" w:lineRule="auto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</w:p>
    <w:p w:rsidR="00F217E5" w:rsidRDefault="00F217E5" w:rsidP="00F217E5">
      <w:pPr>
        <w:spacing w:after="0" w:line="240" w:lineRule="auto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 видно, в обох дослідженнях значення показників загибелі гусениць у 1-шу добу після застосування препаратів практично однакові (за виключенням </w:t>
      </w:r>
      <w:proofErr w:type="spellStart"/>
      <w:r>
        <w:rPr>
          <w:rFonts w:ascii="Times New Roman" w:hAnsi="Times New Roman"/>
          <w:sz w:val="28"/>
          <w:szCs w:val="28"/>
        </w:rPr>
        <w:t>Конфідору</w:t>
      </w:r>
      <w:proofErr w:type="spellEnd"/>
      <w:r>
        <w:rPr>
          <w:rFonts w:ascii="Times New Roman" w:hAnsi="Times New Roman"/>
          <w:sz w:val="28"/>
          <w:szCs w:val="28"/>
        </w:rPr>
        <w:t xml:space="preserve">, де безпосередня обробка листя шовковиці зумовлює значно вищий інсектицидний ефект). Це підтверджує припущення про перенесення їх розчинів вітром з присадибної ділянки на листя і, відповідно, на плоди шовковиці, що росте поблизу. Встановлене в обох випадках порівняно різке зниження інсектицидної дії </w:t>
      </w:r>
      <w:proofErr w:type="spellStart"/>
      <w:r>
        <w:rPr>
          <w:rFonts w:ascii="Times New Roman" w:hAnsi="Times New Roman"/>
          <w:sz w:val="28"/>
          <w:szCs w:val="28"/>
        </w:rPr>
        <w:t>Жукомору</w:t>
      </w:r>
      <w:proofErr w:type="spellEnd"/>
      <w:r>
        <w:rPr>
          <w:rFonts w:ascii="Times New Roman" w:hAnsi="Times New Roman"/>
          <w:sz w:val="28"/>
          <w:szCs w:val="28"/>
        </w:rPr>
        <w:t xml:space="preserve"> з повним її згасанням на 9-ту добу спостережень свідчить про відносно швидкий його розпад.</w:t>
      </w:r>
    </w:p>
    <w:p w:rsidR="00F217E5" w:rsidRDefault="00F217E5" w:rsidP="00F217E5">
      <w:pPr>
        <w:spacing w:after="0" w:line="240" w:lineRule="auto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Найбільш біологічно небезпечним є </w:t>
      </w:r>
      <w:proofErr w:type="spellStart"/>
      <w:r>
        <w:rPr>
          <w:rFonts w:ascii="Times New Roman" w:hAnsi="Times New Roman"/>
          <w:sz w:val="28"/>
          <w:szCs w:val="28"/>
        </w:rPr>
        <w:t>Децис</w:t>
      </w:r>
      <w:proofErr w:type="spellEnd"/>
      <w:r>
        <w:rPr>
          <w:rFonts w:ascii="Times New Roman" w:hAnsi="Times New Roman"/>
          <w:sz w:val="28"/>
          <w:szCs w:val="28"/>
        </w:rPr>
        <w:t xml:space="preserve">. Цей препарат відноситься до синтетичних </w:t>
      </w:r>
      <w:proofErr w:type="spellStart"/>
      <w:r>
        <w:rPr>
          <w:rFonts w:ascii="Times New Roman" w:hAnsi="Times New Roman"/>
          <w:sz w:val="28"/>
          <w:szCs w:val="28"/>
        </w:rPr>
        <w:t>піретроїдів</w:t>
      </w:r>
      <w:proofErr w:type="spellEnd"/>
      <w:r>
        <w:rPr>
          <w:rFonts w:ascii="Times New Roman" w:hAnsi="Times New Roman"/>
          <w:sz w:val="28"/>
          <w:szCs w:val="28"/>
        </w:rPr>
        <w:t xml:space="preserve"> і більш стійкий в навколишньому середовищі, </w:t>
      </w:r>
      <w:r>
        <w:rPr>
          <w:rFonts w:ascii="Times New Roman" w:hAnsi="Times New Roman"/>
          <w:sz w:val="28"/>
          <w:szCs w:val="28"/>
        </w:rPr>
        <w:lastRenderedPageBreak/>
        <w:t xml:space="preserve">ніж </w:t>
      </w:r>
      <w:proofErr w:type="spellStart"/>
      <w:r>
        <w:rPr>
          <w:rFonts w:ascii="Times New Roman" w:hAnsi="Times New Roman"/>
          <w:sz w:val="28"/>
          <w:szCs w:val="28"/>
        </w:rPr>
        <w:t>неоникотиноїди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Жукомор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Конфідор</w:t>
      </w:r>
      <w:proofErr w:type="spellEnd"/>
      <w:r>
        <w:rPr>
          <w:rFonts w:ascii="Times New Roman" w:hAnsi="Times New Roman"/>
          <w:sz w:val="28"/>
          <w:szCs w:val="28"/>
        </w:rPr>
        <w:t>), чим, пояснюється його більш тривалий інсектицидний ефект.</w:t>
      </w:r>
    </w:p>
    <w:p w:rsidR="00F217E5" w:rsidRDefault="00F217E5" w:rsidP="00F217E5">
      <w:pPr>
        <w:spacing w:after="0" w:line="240" w:lineRule="auto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Оцінюючи препарати за тривалістю інсектицидної дії (до відсутності летального ефекту) можна констатувати, що найбільш небезпечним є </w:t>
      </w:r>
      <w:proofErr w:type="spellStart"/>
      <w:r>
        <w:rPr>
          <w:rFonts w:ascii="Times New Roman" w:hAnsi="Times New Roman"/>
          <w:sz w:val="28"/>
          <w:szCs w:val="28"/>
        </w:rPr>
        <w:t>Децис</w:t>
      </w:r>
      <w:proofErr w:type="spellEnd"/>
      <w:r>
        <w:rPr>
          <w:rFonts w:ascii="Times New Roman" w:hAnsi="Times New Roman"/>
          <w:sz w:val="28"/>
          <w:szCs w:val="28"/>
        </w:rPr>
        <w:t xml:space="preserve"> – згасання загибелі настає лише на 18-ту добу з моменту його застосування на присадибній ділянці, далі – </w:t>
      </w:r>
      <w:proofErr w:type="spellStart"/>
      <w:r>
        <w:rPr>
          <w:rFonts w:ascii="Times New Roman" w:hAnsi="Times New Roman"/>
          <w:sz w:val="28"/>
          <w:szCs w:val="28"/>
        </w:rPr>
        <w:t>Конфідор</w:t>
      </w:r>
      <w:proofErr w:type="spellEnd"/>
      <w:r>
        <w:rPr>
          <w:rFonts w:ascii="Times New Roman" w:hAnsi="Times New Roman"/>
          <w:sz w:val="28"/>
          <w:szCs w:val="28"/>
        </w:rPr>
        <w:t xml:space="preserve"> (на 12-ту), найбезпечніший </w:t>
      </w:r>
      <w:proofErr w:type="spellStart"/>
      <w:r>
        <w:rPr>
          <w:rFonts w:ascii="Times New Roman" w:hAnsi="Times New Roman"/>
          <w:sz w:val="28"/>
          <w:szCs w:val="28"/>
        </w:rPr>
        <w:t>Жукомор</w:t>
      </w:r>
      <w:proofErr w:type="spellEnd"/>
      <w:r>
        <w:rPr>
          <w:rFonts w:ascii="Times New Roman" w:hAnsi="Times New Roman"/>
          <w:sz w:val="28"/>
          <w:szCs w:val="28"/>
        </w:rPr>
        <w:t xml:space="preserve"> (на 9-ту). Отже, плоди шовковиці, яка росте поблизу місць застосування даних інсектицидів, можна вважати безпечними для вживання людиною саме у вказані періоди. </w:t>
      </w:r>
    </w:p>
    <w:p w:rsidR="00F217E5" w:rsidRDefault="00F217E5" w:rsidP="00F217E5">
      <w:pPr>
        <w:spacing w:after="0" w:line="240" w:lineRule="auto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</w:p>
    <w:p w:rsidR="00F217E5" w:rsidRDefault="00F217E5" w:rsidP="00F217E5">
      <w:pPr>
        <w:spacing w:after="0" w:line="240" w:lineRule="auto"/>
        <w:ind w:firstLine="73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Висновки.</w:t>
      </w:r>
    </w:p>
    <w:p w:rsidR="00F217E5" w:rsidRDefault="00F217E5" w:rsidP="00F217E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допомогою методу </w:t>
      </w:r>
      <w:proofErr w:type="spellStart"/>
      <w:r>
        <w:rPr>
          <w:rFonts w:ascii="Times New Roman" w:hAnsi="Times New Roman"/>
          <w:sz w:val="28"/>
          <w:szCs w:val="28"/>
        </w:rPr>
        <w:t>біоіндикації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вмісту інсектицидів у довкіллі із використанням як тест-об’єкту </w:t>
      </w:r>
      <w:proofErr w:type="spellStart"/>
      <w:r>
        <w:rPr>
          <w:rFonts w:ascii="Times New Roman" w:hAnsi="Times New Roman"/>
          <w:sz w:val="28"/>
          <w:szCs w:val="28"/>
        </w:rPr>
        <w:t>гусениць-«мурашів</w:t>
      </w:r>
      <w:proofErr w:type="spellEnd"/>
      <w:r>
        <w:rPr>
          <w:rFonts w:ascii="Times New Roman" w:hAnsi="Times New Roman"/>
          <w:sz w:val="28"/>
          <w:szCs w:val="28"/>
        </w:rPr>
        <w:t>» шовковичного шовкопряда</w:t>
      </w:r>
      <w:r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Bombyx</w:t>
      </w:r>
      <w:proofErr w:type="spellEnd"/>
      <w:r w:rsidRPr="00F217E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mori</w:t>
      </w:r>
      <w:proofErr w:type="spellEnd"/>
      <w:r w:rsidRPr="00F217E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/>
          <w:i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 xml:space="preserve"> встановлено, що в разі застосування на присадибній ділянці інсектициду </w:t>
      </w:r>
      <w:proofErr w:type="spellStart"/>
      <w:r>
        <w:rPr>
          <w:rFonts w:ascii="Times New Roman" w:hAnsi="Times New Roman"/>
          <w:sz w:val="28"/>
          <w:szCs w:val="28"/>
        </w:rPr>
        <w:t>Жукомор</w:t>
      </w:r>
      <w:proofErr w:type="spellEnd"/>
      <w:r>
        <w:rPr>
          <w:rFonts w:ascii="Times New Roman" w:hAnsi="Times New Roman"/>
          <w:sz w:val="28"/>
          <w:szCs w:val="28"/>
        </w:rPr>
        <w:t xml:space="preserve"> плоди шовковиці білої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Morus</w:t>
      </w:r>
      <w:proofErr w:type="spellEnd"/>
      <w:r w:rsidRPr="00F217E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alba</w:t>
      </w:r>
      <w:r w:rsidRPr="00F217E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), що росте поблизу, є безпечними для вживання людиною на 9-ту добу після його використання. При застосуванні </w:t>
      </w:r>
      <w:proofErr w:type="spellStart"/>
      <w:r>
        <w:rPr>
          <w:rFonts w:ascii="Times New Roman" w:hAnsi="Times New Roman"/>
          <w:sz w:val="28"/>
          <w:szCs w:val="28"/>
        </w:rPr>
        <w:t>Децису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 18-ту, </w:t>
      </w:r>
      <w:proofErr w:type="spellStart"/>
      <w:r>
        <w:rPr>
          <w:rFonts w:ascii="Times New Roman" w:hAnsi="Times New Roman"/>
          <w:sz w:val="28"/>
          <w:szCs w:val="28"/>
        </w:rPr>
        <w:t>Конфідору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 12-ту.</w:t>
      </w:r>
    </w:p>
    <w:p w:rsidR="00F217E5" w:rsidRDefault="00F217E5" w:rsidP="00F217E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Найбільш безпечним у 1-шу добу після застосування є препарат системної дії </w:t>
      </w:r>
      <w:proofErr w:type="spellStart"/>
      <w:r>
        <w:rPr>
          <w:rFonts w:ascii="Times New Roman" w:hAnsi="Times New Roman"/>
          <w:sz w:val="28"/>
          <w:szCs w:val="28"/>
        </w:rPr>
        <w:t>Конфідор</w:t>
      </w:r>
      <w:proofErr w:type="spellEnd"/>
      <w:r>
        <w:rPr>
          <w:rFonts w:ascii="Times New Roman" w:hAnsi="Times New Roman"/>
          <w:sz w:val="28"/>
          <w:szCs w:val="28"/>
        </w:rPr>
        <w:t xml:space="preserve">. Загибель гусениць в цей період склала лише 42,7±0,67. Особливо небезпечні інсектициди контактної дії </w:t>
      </w:r>
      <w:proofErr w:type="spellStart"/>
      <w:r>
        <w:rPr>
          <w:rFonts w:ascii="Times New Roman" w:hAnsi="Times New Roman"/>
          <w:sz w:val="28"/>
          <w:szCs w:val="28"/>
        </w:rPr>
        <w:t>Жукомор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Децис</w:t>
      </w:r>
      <w:proofErr w:type="spellEnd"/>
      <w:r>
        <w:rPr>
          <w:rFonts w:ascii="Times New Roman" w:hAnsi="Times New Roman"/>
          <w:sz w:val="28"/>
          <w:szCs w:val="28"/>
        </w:rPr>
        <w:t xml:space="preserve"> – 99,3±0,67 % та 94,3±0,88 % відповідно.</w:t>
      </w:r>
    </w:p>
    <w:p w:rsidR="00F217E5" w:rsidRDefault="00F217E5" w:rsidP="00F217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217E5" w:rsidRDefault="00F217E5" w:rsidP="00F217E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літератури.</w:t>
      </w:r>
    </w:p>
    <w:p w:rsidR="00F217E5" w:rsidRDefault="00F217E5" w:rsidP="00F217E5">
      <w:pPr>
        <w:numPr>
          <w:ilvl w:val="0"/>
          <w:numId w:val="5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Використання шовковичного шовкопряда як </w:t>
      </w:r>
      <w:proofErr w:type="spellStart"/>
      <w:r>
        <w:rPr>
          <w:rFonts w:ascii="Times New Roman" w:hAnsi="Times New Roman"/>
          <w:sz w:val="28"/>
          <w:szCs w:val="28"/>
        </w:rPr>
        <w:t>біоіндикатора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визначення залишків інсектицидів у навколишньому середовищі. Методичні рекомендації / О.З. </w:t>
      </w:r>
      <w:proofErr w:type="spellStart"/>
      <w:r>
        <w:rPr>
          <w:rFonts w:ascii="Times New Roman" w:hAnsi="Times New Roman"/>
          <w:sz w:val="28"/>
          <w:szCs w:val="28"/>
        </w:rPr>
        <w:t>Злотін</w:t>
      </w:r>
      <w:proofErr w:type="spellEnd"/>
      <w:r>
        <w:rPr>
          <w:rFonts w:ascii="Times New Roman" w:hAnsi="Times New Roman"/>
          <w:sz w:val="28"/>
          <w:szCs w:val="28"/>
        </w:rPr>
        <w:t xml:space="preserve">, В.О. Головко, О.Ю. </w:t>
      </w:r>
      <w:proofErr w:type="spellStart"/>
      <w:r>
        <w:rPr>
          <w:rFonts w:ascii="Times New Roman" w:hAnsi="Times New Roman"/>
          <w:sz w:val="28"/>
          <w:szCs w:val="28"/>
        </w:rPr>
        <w:t>Без’язична</w:t>
      </w:r>
      <w:proofErr w:type="spellEnd"/>
      <w:r>
        <w:rPr>
          <w:rFonts w:ascii="Times New Roman" w:hAnsi="Times New Roman"/>
          <w:sz w:val="28"/>
          <w:szCs w:val="28"/>
        </w:rPr>
        <w:t>, Н.П. Чепурна/ – Харків : РВП «Оригінал», 1996. – 13 с.</w:t>
      </w:r>
    </w:p>
    <w:p w:rsidR="00F217E5" w:rsidRDefault="00F217E5" w:rsidP="00F217E5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567"/>
          <w:tab w:val="num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Довідник із захисту рослин / Л.І. Бублик, Г.І. </w:t>
      </w:r>
      <w:proofErr w:type="spellStart"/>
      <w:r>
        <w:rPr>
          <w:rFonts w:ascii="Times New Roman" w:hAnsi="Times New Roman"/>
          <w:sz w:val="28"/>
          <w:szCs w:val="28"/>
        </w:rPr>
        <w:t>Васєчко</w:t>
      </w:r>
      <w:proofErr w:type="spellEnd"/>
      <w:r>
        <w:rPr>
          <w:rFonts w:ascii="Times New Roman" w:hAnsi="Times New Roman"/>
          <w:sz w:val="28"/>
          <w:szCs w:val="28"/>
        </w:rPr>
        <w:t>, В.П. Васильєв та ін. За ред. М.П. Лісового. – К.: Урожай, 1999. – 744 с.</w:t>
      </w:r>
    </w:p>
    <w:p w:rsidR="00F217E5" w:rsidRDefault="00F217E5" w:rsidP="00F217E5">
      <w:pPr>
        <w:numPr>
          <w:ilvl w:val="0"/>
          <w:numId w:val="5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Землекористування: </w:t>
      </w:r>
      <w:proofErr w:type="spellStart"/>
      <w:r>
        <w:rPr>
          <w:rFonts w:ascii="Times New Roman" w:hAnsi="Times New Roman"/>
          <w:sz w:val="28"/>
          <w:szCs w:val="28"/>
        </w:rPr>
        <w:t>еколого-економічні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проблеми. Конфлікти, планування. </w:t>
      </w:r>
      <w:proofErr w:type="spellStart"/>
      <w:r>
        <w:rPr>
          <w:rFonts w:ascii="Times New Roman" w:hAnsi="Times New Roman"/>
          <w:sz w:val="28"/>
          <w:szCs w:val="28"/>
        </w:rPr>
        <w:t>Навч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Пос</w:t>
      </w:r>
      <w:proofErr w:type="spellEnd"/>
      <w:r>
        <w:rPr>
          <w:rFonts w:ascii="Times New Roman" w:hAnsi="Times New Roman"/>
          <w:sz w:val="28"/>
          <w:szCs w:val="28"/>
        </w:rPr>
        <w:t xml:space="preserve">. / [Соловій І. П., Іванишин О. Т., </w:t>
      </w:r>
      <w:proofErr w:type="spellStart"/>
      <w:r>
        <w:rPr>
          <w:rFonts w:ascii="Times New Roman" w:hAnsi="Times New Roman"/>
          <w:sz w:val="28"/>
          <w:szCs w:val="28"/>
        </w:rPr>
        <w:t>Лавний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В. В., Турчин Ю. І., </w:t>
      </w:r>
      <w:proofErr w:type="spellStart"/>
      <w:r>
        <w:rPr>
          <w:rFonts w:ascii="Times New Roman" w:hAnsi="Times New Roman"/>
          <w:sz w:val="28"/>
          <w:szCs w:val="28"/>
        </w:rPr>
        <w:t>Часковський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О. Г.]. – Львів: Афіша, 2005. – 400 с. </w:t>
      </w:r>
    </w:p>
    <w:p w:rsidR="00F217E5" w:rsidRDefault="00F217E5" w:rsidP="00F217E5">
      <w:pPr>
        <w:numPr>
          <w:ilvl w:val="0"/>
          <w:numId w:val="5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Клименко М. О., </w:t>
      </w:r>
      <w:proofErr w:type="spellStart"/>
      <w:r>
        <w:rPr>
          <w:rFonts w:ascii="Times New Roman" w:hAnsi="Times New Roman"/>
          <w:sz w:val="28"/>
          <w:szCs w:val="28"/>
        </w:rPr>
        <w:t>Кнорр</w:t>
      </w:r>
      <w:proofErr w:type="spellEnd"/>
      <w:r>
        <w:rPr>
          <w:rFonts w:ascii="Times New Roman" w:hAnsi="Times New Roman"/>
          <w:sz w:val="28"/>
          <w:szCs w:val="28"/>
        </w:rPr>
        <w:t xml:space="preserve"> Н. В., Пилипенко Ю. В. Моніторинг довкілля: Практикум. – К: Кондор, 2010. – 286 с.</w:t>
      </w:r>
    </w:p>
    <w:p w:rsidR="00F217E5" w:rsidRDefault="00F217E5" w:rsidP="00F217E5">
      <w:pPr>
        <w:numPr>
          <w:ilvl w:val="0"/>
          <w:numId w:val="5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 пестицидів і агрохімікатів дозволених до використання в Україні / В. У. </w:t>
      </w:r>
      <w:proofErr w:type="spellStart"/>
      <w:r>
        <w:rPr>
          <w:rFonts w:ascii="Times New Roman" w:hAnsi="Times New Roman"/>
          <w:sz w:val="28"/>
          <w:szCs w:val="28"/>
        </w:rPr>
        <w:t>Ящук</w:t>
      </w:r>
      <w:proofErr w:type="spellEnd"/>
      <w:r>
        <w:rPr>
          <w:rFonts w:ascii="Times New Roman" w:hAnsi="Times New Roman"/>
          <w:sz w:val="28"/>
          <w:szCs w:val="28"/>
        </w:rPr>
        <w:t>, Д. В. Іванов, О. Л. </w:t>
      </w:r>
      <w:proofErr w:type="spellStart"/>
      <w:r>
        <w:rPr>
          <w:rFonts w:ascii="Times New Roman" w:hAnsi="Times New Roman"/>
          <w:sz w:val="28"/>
          <w:szCs w:val="28"/>
        </w:rPr>
        <w:t>Капліна</w:t>
      </w:r>
      <w:proofErr w:type="spellEnd"/>
      <w:r>
        <w:rPr>
          <w:rFonts w:ascii="Times New Roman" w:hAnsi="Times New Roman"/>
          <w:sz w:val="28"/>
          <w:szCs w:val="28"/>
        </w:rPr>
        <w:t xml:space="preserve"> тощо/ – Київ.: ТОВ «</w:t>
      </w:r>
      <w:proofErr w:type="spellStart"/>
      <w:r>
        <w:rPr>
          <w:rFonts w:ascii="Times New Roman" w:hAnsi="Times New Roman"/>
          <w:sz w:val="28"/>
          <w:szCs w:val="28"/>
        </w:rPr>
        <w:t>Юнівест</w:t>
      </w:r>
      <w:proofErr w:type="spellEnd"/>
      <w:r>
        <w:rPr>
          <w:rFonts w:ascii="Times New Roman" w:hAnsi="Times New Roman"/>
          <w:sz w:val="28"/>
          <w:szCs w:val="28"/>
        </w:rPr>
        <w:t xml:space="preserve"> Медіа», 2010. – 544 с.</w:t>
      </w:r>
    </w:p>
    <w:p w:rsidR="00F217E5" w:rsidRDefault="00F217E5" w:rsidP="00F217E5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567"/>
          <w:tab w:val="num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Писаренко В. М., Писаренко П. В. Захист рослин: екологічно обґрунтовані системи. Полтава. </w:t>
      </w:r>
      <w:proofErr w:type="spellStart"/>
      <w:r>
        <w:rPr>
          <w:rFonts w:ascii="Times New Roman" w:hAnsi="Times New Roman"/>
          <w:sz w:val="28"/>
          <w:szCs w:val="28"/>
        </w:rPr>
        <w:t>Камелот</w:t>
      </w:r>
      <w:proofErr w:type="spellEnd"/>
      <w:r>
        <w:rPr>
          <w:rFonts w:ascii="Times New Roman" w:hAnsi="Times New Roman"/>
          <w:sz w:val="28"/>
          <w:szCs w:val="28"/>
        </w:rPr>
        <w:t>, 1999. – 188 с.</w:t>
      </w:r>
    </w:p>
    <w:p w:rsidR="00F217E5" w:rsidRDefault="00F217E5" w:rsidP="00F217E5">
      <w:pPr>
        <w:numPr>
          <w:ilvl w:val="0"/>
          <w:numId w:val="5"/>
        </w:numPr>
        <w:tabs>
          <w:tab w:val="clear" w:pos="360"/>
          <w:tab w:val="num" w:pos="993"/>
          <w:tab w:val="num" w:pos="1134"/>
        </w:tabs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Шовківництво /Головко В.О., </w:t>
      </w:r>
      <w:proofErr w:type="spellStart"/>
      <w:r>
        <w:rPr>
          <w:rFonts w:ascii="Times New Roman" w:hAnsi="Times New Roman"/>
          <w:sz w:val="28"/>
          <w:szCs w:val="28"/>
        </w:rPr>
        <w:t>Злотін</w:t>
      </w:r>
      <w:proofErr w:type="spellEnd"/>
      <w:r>
        <w:rPr>
          <w:rFonts w:ascii="Times New Roman" w:hAnsi="Times New Roman"/>
          <w:sz w:val="28"/>
          <w:szCs w:val="28"/>
        </w:rPr>
        <w:t xml:space="preserve"> О.З., </w:t>
      </w:r>
      <w:proofErr w:type="spellStart"/>
      <w:r>
        <w:rPr>
          <w:rFonts w:ascii="Times New Roman" w:hAnsi="Times New Roman"/>
          <w:sz w:val="28"/>
          <w:szCs w:val="28"/>
        </w:rPr>
        <w:t>Браславський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М.Ю. та ін./ Під ред. О.З.</w:t>
      </w:r>
      <w:proofErr w:type="spellStart"/>
      <w:r>
        <w:rPr>
          <w:rFonts w:ascii="Times New Roman" w:hAnsi="Times New Roman"/>
          <w:sz w:val="28"/>
          <w:szCs w:val="28"/>
        </w:rPr>
        <w:t>Злотіна</w:t>
      </w:r>
      <w:proofErr w:type="spellEnd"/>
      <w:r>
        <w:rPr>
          <w:rFonts w:ascii="Times New Roman" w:hAnsi="Times New Roman"/>
          <w:sz w:val="28"/>
          <w:szCs w:val="28"/>
        </w:rPr>
        <w:t>, Ю.Д. Бойчука. – Харків: РВП «Оригінал», 1998. – 416 с.</w:t>
      </w:r>
    </w:p>
    <w:p w:rsidR="00F217E5" w:rsidRDefault="00C22F5C" w:rsidP="00F217E5">
      <w:pPr>
        <w:numPr>
          <w:ilvl w:val="0"/>
          <w:numId w:val="5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hyperlink r:id="rId7" w:history="1">
        <w:r w:rsidR="00F217E5">
          <w:rPr>
            <w:rStyle w:val="a3"/>
            <w:sz w:val="28"/>
            <w:szCs w:val="28"/>
          </w:rPr>
          <w:t>http://badvasy.com.ua/zasoby-zahysu-roslyn/insektycydy/84-konfidor.html</w:t>
        </w:r>
      </w:hyperlink>
      <w:r w:rsidR="00F217E5">
        <w:rPr>
          <w:rFonts w:ascii="Times New Roman" w:hAnsi="Times New Roman"/>
          <w:sz w:val="28"/>
          <w:szCs w:val="28"/>
        </w:rPr>
        <w:t>.</w:t>
      </w:r>
    </w:p>
    <w:p w:rsidR="00F217E5" w:rsidRDefault="00C22F5C" w:rsidP="00F217E5">
      <w:pPr>
        <w:numPr>
          <w:ilvl w:val="0"/>
          <w:numId w:val="5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hyperlink r:id="rId8" w:history="1">
        <w:r w:rsidR="00F217E5">
          <w:rPr>
            <w:rStyle w:val="a3"/>
            <w:sz w:val="28"/>
            <w:szCs w:val="28"/>
          </w:rPr>
          <w:t>http://badvasy.com.ua/zasoby-zahysu-roslyn/insektycydy/85-decis.html</w:t>
        </w:r>
      </w:hyperlink>
      <w:r w:rsidR="00F217E5">
        <w:rPr>
          <w:rFonts w:ascii="Times New Roman" w:hAnsi="Times New Roman"/>
          <w:sz w:val="28"/>
          <w:szCs w:val="28"/>
        </w:rPr>
        <w:t>.</w:t>
      </w:r>
    </w:p>
    <w:p w:rsidR="00F217E5" w:rsidRDefault="00C22F5C" w:rsidP="00F217E5">
      <w:pPr>
        <w:numPr>
          <w:ilvl w:val="0"/>
          <w:numId w:val="5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hyperlink r:id="rId9" w:history="1">
        <w:r w:rsidR="00F217E5">
          <w:rPr>
            <w:rStyle w:val="a3"/>
            <w:sz w:val="28"/>
            <w:szCs w:val="28"/>
          </w:rPr>
          <w:t>http://zasoby.com.ua/plant/zhukomor-ru.html</w:t>
        </w:r>
      </w:hyperlink>
      <w:r w:rsidR="00F217E5">
        <w:rPr>
          <w:rFonts w:ascii="Times New Roman" w:hAnsi="Times New Roman"/>
          <w:sz w:val="28"/>
          <w:szCs w:val="28"/>
        </w:rPr>
        <w:t>.</w:t>
      </w:r>
    </w:p>
    <w:p w:rsidR="00F217E5" w:rsidRDefault="00C22F5C" w:rsidP="00F217E5">
      <w:pPr>
        <w:numPr>
          <w:ilvl w:val="0"/>
          <w:numId w:val="5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hyperlink r:id="rId10" w:history="1">
        <w:r w:rsidR="00F217E5">
          <w:rPr>
            <w:rStyle w:val="a3"/>
            <w:sz w:val="28"/>
            <w:szCs w:val="28"/>
          </w:rPr>
          <w:t>http://www.zr2000.com.ua/article149.htm</w:t>
        </w:r>
      </w:hyperlink>
      <w:r w:rsidR="00F217E5">
        <w:rPr>
          <w:rFonts w:ascii="Times New Roman" w:hAnsi="Times New Roman"/>
          <w:sz w:val="28"/>
          <w:szCs w:val="28"/>
        </w:rPr>
        <w:t>.</w:t>
      </w:r>
    </w:p>
    <w:p w:rsidR="00F217E5" w:rsidRDefault="00F217E5" w:rsidP="00F217E5">
      <w:pPr>
        <w:tabs>
          <w:tab w:val="num" w:pos="993"/>
        </w:tabs>
        <w:spacing w:after="0" w:line="240" w:lineRule="auto"/>
        <w:ind w:firstLine="357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F217E5" w:rsidRDefault="00F217E5" w:rsidP="00F217E5">
      <w:pPr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Биоиндикация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пищевой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безопасности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плодов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шелковицы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белой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Morus</w:t>
      </w:r>
      <w:proofErr w:type="spellEnd"/>
      <w:r w:rsidRPr="00F217E5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alba</w:t>
      </w:r>
      <w:r w:rsidRPr="00F217E5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L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) с </w:t>
      </w:r>
      <w:proofErr w:type="spellStart"/>
      <w:r>
        <w:rPr>
          <w:rFonts w:ascii="Times New Roman" w:hAnsi="Times New Roman"/>
          <w:b/>
          <w:sz w:val="28"/>
          <w:szCs w:val="28"/>
        </w:rPr>
        <w:t>помощью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тутового </w:t>
      </w:r>
      <w:proofErr w:type="spellStart"/>
      <w:r>
        <w:rPr>
          <w:rFonts w:ascii="Times New Roman" w:hAnsi="Times New Roman"/>
          <w:b/>
          <w:sz w:val="28"/>
          <w:szCs w:val="28"/>
        </w:rPr>
        <w:t>шелкопряда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Bombyx</w:t>
      </w:r>
      <w:proofErr w:type="spellEnd"/>
      <w:r w:rsidRPr="00F217E5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mori</w:t>
      </w:r>
      <w:proofErr w:type="spellEnd"/>
      <w:r w:rsidRPr="00F217E5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L</w:t>
      </w:r>
      <w:r>
        <w:rPr>
          <w:rFonts w:ascii="Times New Roman" w:hAnsi="Times New Roman"/>
          <w:b/>
          <w:i/>
          <w:sz w:val="28"/>
          <w:szCs w:val="28"/>
        </w:rPr>
        <w:t>.).</w:t>
      </w:r>
    </w:p>
    <w:p w:rsidR="00F217E5" w:rsidRDefault="00F217E5" w:rsidP="00F217E5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Маркина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Т. Ю., </w:t>
      </w:r>
      <w:proofErr w:type="spellStart"/>
      <w:r>
        <w:rPr>
          <w:rFonts w:ascii="Times New Roman" w:hAnsi="Times New Roman"/>
          <w:b/>
          <w:sz w:val="28"/>
          <w:szCs w:val="28"/>
        </w:rPr>
        <w:t>Суханова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 П., </w:t>
      </w:r>
      <w:proofErr w:type="spellStart"/>
      <w:r>
        <w:rPr>
          <w:rFonts w:ascii="Times New Roman" w:hAnsi="Times New Roman"/>
          <w:b/>
          <w:sz w:val="28"/>
          <w:szCs w:val="28"/>
        </w:rPr>
        <w:t>Бровди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 А., </w:t>
      </w:r>
      <w:proofErr w:type="spellStart"/>
      <w:r>
        <w:rPr>
          <w:rFonts w:ascii="Times New Roman" w:hAnsi="Times New Roman"/>
          <w:b/>
          <w:sz w:val="28"/>
          <w:szCs w:val="28"/>
        </w:rPr>
        <w:t>Суханов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С.В.</w:t>
      </w:r>
      <w:r>
        <w:rPr>
          <w:rFonts w:ascii="Times New Roman" w:hAnsi="Times New Roman"/>
          <w:b/>
          <w:sz w:val="28"/>
          <w:szCs w:val="28"/>
          <w:vertAlign w:val="superscript"/>
        </w:rPr>
        <w:t>)</w:t>
      </w:r>
    </w:p>
    <w:p w:rsidR="00F217E5" w:rsidRDefault="00F217E5" w:rsidP="00F217E5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Харьковский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национальный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педагогический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университет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им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>. Г. С. 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Сковороды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>;</w:t>
      </w:r>
    </w:p>
    <w:p w:rsidR="00F217E5" w:rsidRDefault="00F217E5" w:rsidP="00F217E5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Уманский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национальный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университет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садоводства</w:t>
      </w:r>
      <w:proofErr w:type="spellEnd"/>
    </w:p>
    <w:p w:rsidR="00F217E5" w:rsidRDefault="00F217E5" w:rsidP="00F217E5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статье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изложены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результаты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применения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метода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биоиндикации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содержания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инсектицидов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окружающей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среде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помощью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Bombyx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mori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L. </w:t>
      </w:r>
      <w:r>
        <w:rPr>
          <w:rFonts w:ascii="Times New Roman" w:hAnsi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/>
          <w:sz w:val="28"/>
          <w:szCs w:val="28"/>
        </w:rPr>
        <w:t>целью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оценки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пищевой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безопасности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плодов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Morus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alba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направление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является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частью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глобальной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проблемы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экомониторинга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содержания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инсектицидов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окружающей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среде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условиях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современных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интенсивных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 </w:t>
      </w:r>
      <w:proofErr w:type="spellStart"/>
      <w:r>
        <w:rPr>
          <w:rFonts w:ascii="Times New Roman" w:hAnsi="Times New Roman"/>
          <w:sz w:val="28"/>
          <w:szCs w:val="28"/>
        </w:rPr>
        <w:t>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хозяйства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Его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реализация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может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служить </w:t>
      </w:r>
      <w:proofErr w:type="spellStart"/>
      <w:r>
        <w:rPr>
          <w:rFonts w:ascii="Times New Roman" w:hAnsi="Times New Roman"/>
          <w:sz w:val="28"/>
          <w:szCs w:val="28"/>
        </w:rPr>
        <w:t>основой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экологической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безопасности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владельцев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приусадебных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участков</w:t>
      </w:r>
      <w:proofErr w:type="spellEnd"/>
      <w:r>
        <w:rPr>
          <w:rFonts w:ascii="Times New Roman" w:hAnsi="Times New Roman"/>
          <w:sz w:val="28"/>
          <w:szCs w:val="28"/>
        </w:rPr>
        <w:t xml:space="preserve">. Установлено, </w:t>
      </w:r>
      <w:proofErr w:type="spellStart"/>
      <w:r>
        <w:rPr>
          <w:rFonts w:ascii="Times New Roman" w:hAnsi="Times New Roman"/>
          <w:sz w:val="28"/>
          <w:szCs w:val="28"/>
        </w:rPr>
        <w:t>что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после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приусадебном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участке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инсектицида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Жукомор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плоды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шелковицы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растущей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поблизости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являются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безопасными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употребления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9-ые</w:t>
      </w:r>
      <w:proofErr w:type="spellEnd"/>
      <w:r>
        <w:rPr>
          <w:rFonts w:ascii="Times New Roman" w:hAnsi="Times New Roman"/>
          <w:sz w:val="28"/>
          <w:szCs w:val="28"/>
        </w:rPr>
        <w:t xml:space="preserve"> сутки, </w:t>
      </w:r>
      <w:proofErr w:type="spellStart"/>
      <w:r>
        <w:rPr>
          <w:rFonts w:ascii="Times New Roman" w:hAnsi="Times New Roman"/>
          <w:sz w:val="28"/>
          <w:szCs w:val="28"/>
        </w:rPr>
        <w:t>Дециса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 </w:t>
      </w:r>
      <w:proofErr w:type="spellStart"/>
      <w:r>
        <w:rPr>
          <w:rFonts w:ascii="Times New Roman" w:hAnsi="Times New Roman"/>
          <w:sz w:val="28"/>
          <w:szCs w:val="28"/>
        </w:rPr>
        <w:t>18-ые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Конфидора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 </w:t>
      </w:r>
      <w:proofErr w:type="spellStart"/>
      <w:r>
        <w:rPr>
          <w:rFonts w:ascii="Times New Roman" w:hAnsi="Times New Roman"/>
          <w:sz w:val="28"/>
          <w:szCs w:val="28"/>
        </w:rPr>
        <w:t>12-ые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217E5" w:rsidRDefault="00F217E5" w:rsidP="00F217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Ключевые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слова: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биоиндикация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биомониторинг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биологические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тест-объекты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тутовый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шелкопряд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инсектициды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217E5" w:rsidRDefault="00F217E5" w:rsidP="00F21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6BA" w:rsidRDefault="005826BA"/>
    <w:sectPr w:rsidR="005826BA" w:rsidSect="0058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55400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8"/>
        <w:szCs w:val="28"/>
      </w:rPr>
    </w:lvl>
  </w:abstractNum>
  <w:abstractNum w:abstractNumId="1">
    <w:nsid w:val="1D2C638F"/>
    <w:multiLevelType w:val="hybridMultilevel"/>
    <w:tmpl w:val="605E4EBA"/>
    <w:lvl w:ilvl="0" w:tplc="9D7ACAE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723616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B22E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7CE9B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5A9A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AE0E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21241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898CA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14090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384E3D"/>
    <w:multiLevelType w:val="hybridMultilevel"/>
    <w:tmpl w:val="D556E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B35151"/>
    <w:multiLevelType w:val="hybridMultilevel"/>
    <w:tmpl w:val="3350EED4"/>
    <w:lvl w:ilvl="0" w:tplc="1BE22240">
      <w:start w:val="1"/>
      <w:numFmt w:val="decimal"/>
      <w:lvlText w:val="%1."/>
      <w:lvlJc w:val="left"/>
      <w:pPr>
        <w:ind w:left="89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B17FE0"/>
    <w:multiLevelType w:val="hybridMultilevel"/>
    <w:tmpl w:val="2B46A8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75B0F"/>
    <w:rsid w:val="000A633E"/>
    <w:rsid w:val="0047781E"/>
    <w:rsid w:val="005826BA"/>
    <w:rsid w:val="00675B0F"/>
    <w:rsid w:val="006A40BE"/>
    <w:rsid w:val="00C22F5C"/>
    <w:rsid w:val="00F2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E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217E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F217E5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2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7E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dvasy.com.ua/zasoby-zahysu-roslyn/insektycydy/85-deci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dvasy.com.ua/zasoby-zahysu-roslyn/insektycydy/84-konfidor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hyperlink" Target="http://www.zr2000.com.ua/article14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soby.com.ua/plant/zhukomor-ru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4503311258278415E-2"/>
          <c:y val="0.10606060606060629"/>
          <c:w val="0.90894039735099363"/>
          <c:h val="0.54545454545454541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Жукомор</c:v>
                </c:pt>
              </c:strCache>
            </c:strRef>
          </c:tx>
          <c:spPr>
            <a:ln w="27421">
              <a:solidFill>
                <a:srgbClr val="000080"/>
              </a:solidFill>
              <a:prstDash val="solid"/>
            </a:ln>
          </c:spPr>
          <c:marker>
            <c:symbol val="x"/>
            <c:size val="6"/>
            <c:spPr>
              <a:noFill/>
              <a:ln>
                <a:solidFill>
                  <a:srgbClr val="333399"/>
                </a:solidFill>
                <a:prstDash val="solid"/>
              </a:ln>
            </c:spPr>
          </c:marker>
          <c:cat>
            <c:numRef>
              <c:f>Sheet1!$B$1:$S$1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</c:numCache>
            </c:numRef>
          </c:cat>
          <c:val>
            <c:numRef>
              <c:f>Sheet1!$B$2:$S$2</c:f>
              <c:numCache>
                <c:formatCode>General</c:formatCode>
                <c:ptCount val="18"/>
                <c:pt idx="0">
                  <c:v>99.33</c:v>
                </c:pt>
                <c:pt idx="1">
                  <c:v>93.33</c:v>
                </c:pt>
                <c:pt idx="2">
                  <c:v>82.669999999999987</c:v>
                </c:pt>
                <c:pt idx="3">
                  <c:v>67.669999999999987</c:v>
                </c:pt>
                <c:pt idx="4">
                  <c:v>52.33</c:v>
                </c:pt>
                <c:pt idx="5">
                  <c:v>37</c:v>
                </c:pt>
                <c:pt idx="6">
                  <c:v>22</c:v>
                </c:pt>
                <c:pt idx="7">
                  <c:v>7.33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Децис</c:v>
                </c:pt>
              </c:strCache>
            </c:strRef>
          </c:tx>
          <c:spPr>
            <a:ln w="27421">
              <a:solidFill>
                <a:srgbClr val="FF00FF"/>
              </a:solidFill>
              <a:prstDash val="solid"/>
            </a:ln>
          </c:spPr>
          <c:marker>
            <c:symbol val="plus"/>
            <c:size val="6"/>
            <c:spPr>
              <a:noFill/>
              <a:ln>
                <a:solidFill>
                  <a:srgbClr val="993300"/>
                </a:solidFill>
                <a:prstDash val="solid"/>
              </a:ln>
            </c:spPr>
          </c:marker>
          <c:cat>
            <c:numRef>
              <c:f>Sheet1!$B$1:$S$1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</c:numCache>
            </c:numRef>
          </c:cat>
          <c:val>
            <c:numRef>
              <c:f>Sheet1!$B$3:$S$3</c:f>
              <c:numCache>
                <c:formatCode>General</c:formatCode>
                <c:ptCount val="18"/>
                <c:pt idx="0">
                  <c:v>94.33</c:v>
                </c:pt>
                <c:pt idx="1">
                  <c:v>80</c:v>
                </c:pt>
                <c:pt idx="2">
                  <c:v>75.66</c:v>
                </c:pt>
                <c:pt idx="3">
                  <c:v>74</c:v>
                </c:pt>
                <c:pt idx="4">
                  <c:v>72</c:v>
                </c:pt>
                <c:pt idx="5">
                  <c:v>69.33</c:v>
                </c:pt>
                <c:pt idx="6">
                  <c:v>67.669999999999987</c:v>
                </c:pt>
                <c:pt idx="7">
                  <c:v>66.33</c:v>
                </c:pt>
                <c:pt idx="8">
                  <c:v>59.67</c:v>
                </c:pt>
                <c:pt idx="9">
                  <c:v>56.33</c:v>
                </c:pt>
                <c:pt idx="10">
                  <c:v>49</c:v>
                </c:pt>
                <c:pt idx="11">
                  <c:v>45.67</c:v>
                </c:pt>
                <c:pt idx="12">
                  <c:v>40.67</c:v>
                </c:pt>
                <c:pt idx="13">
                  <c:v>37.33</c:v>
                </c:pt>
                <c:pt idx="14">
                  <c:v>33</c:v>
                </c:pt>
                <c:pt idx="15">
                  <c:v>22.330000000000005</c:v>
                </c:pt>
                <c:pt idx="16">
                  <c:v>6.33</c:v>
                </c:pt>
                <c:pt idx="17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Конфідор</c:v>
                </c:pt>
              </c:strCache>
            </c:strRef>
          </c:tx>
          <c:spPr>
            <a:ln w="27421">
              <a:solidFill>
                <a:srgbClr val="FFFF00"/>
              </a:solidFill>
              <a:prstDash val="solid"/>
            </a:ln>
          </c:spPr>
          <c:marker>
            <c:symbol val="star"/>
            <c:size val="6"/>
            <c:spPr>
              <a:noFill/>
              <a:ln>
                <a:solidFill>
                  <a:srgbClr val="808000"/>
                </a:solidFill>
                <a:prstDash val="solid"/>
              </a:ln>
            </c:spPr>
          </c:marker>
          <c:cat>
            <c:numRef>
              <c:f>Sheet1!$B$1:$S$1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</c:numCache>
            </c:numRef>
          </c:cat>
          <c:val>
            <c:numRef>
              <c:f>Sheet1!$B$4:$S$4</c:f>
              <c:numCache>
                <c:formatCode>General</c:formatCode>
                <c:ptCount val="18"/>
                <c:pt idx="0">
                  <c:v>42.67</c:v>
                </c:pt>
                <c:pt idx="1">
                  <c:v>40.33</c:v>
                </c:pt>
                <c:pt idx="2">
                  <c:v>39.67</c:v>
                </c:pt>
                <c:pt idx="3">
                  <c:v>37.33</c:v>
                </c:pt>
                <c:pt idx="4">
                  <c:v>36.67</c:v>
                </c:pt>
                <c:pt idx="5">
                  <c:v>36</c:v>
                </c:pt>
                <c:pt idx="6">
                  <c:v>35.67</c:v>
                </c:pt>
                <c:pt idx="7">
                  <c:v>30.330000000000005</c:v>
                </c:pt>
                <c:pt idx="8">
                  <c:v>26.67</c:v>
                </c:pt>
                <c:pt idx="9">
                  <c:v>16</c:v>
                </c:pt>
                <c:pt idx="10">
                  <c:v>6.67</c:v>
                </c:pt>
                <c:pt idx="11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Контроль</c:v>
                </c:pt>
              </c:strCache>
            </c:strRef>
          </c:tx>
          <c:spPr>
            <a:ln w="27421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numRef>
              <c:f>Sheet1!$B$1:$S$1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</c:numCache>
            </c:numRef>
          </c:cat>
          <c:val>
            <c:numRef>
              <c:f>Sheet1!$B$5:$S$5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marker val="1"/>
        <c:axId val="46794240"/>
        <c:axId val="47427584"/>
      </c:lineChart>
      <c:catAx>
        <c:axId val="46794240"/>
        <c:scaling>
          <c:orientation val="minMax"/>
        </c:scaling>
        <c:axPos val="b"/>
        <c:numFmt formatCode="General" sourceLinked="1"/>
        <c:tickLblPos val="nextTo"/>
        <c:spPr>
          <a:ln w="22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4" b="1" i="1" u="none" strike="noStrike" baseline="0">
                <a:solidFill>
                  <a:srgbClr val="FFFFFF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7427584"/>
        <c:crosses val="autoZero"/>
        <c:auto val="1"/>
        <c:lblAlgn val="ctr"/>
        <c:lblOffset val="100"/>
        <c:tickLblSkip val="1"/>
        <c:tickMarkSkip val="1"/>
      </c:catAx>
      <c:valAx>
        <c:axId val="47427584"/>
        <c:scaling>
          <c:orientation val="minMax"/>
        </c:scaling>
        <c:axPos val="l"/>
        <c:majorGridlines>
          <c:spPr>
            <a:ln w="914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6856">
            <a:noFill/>
          </a:ln>
        </c:spPr>
        <c:txPr>
          <a:bodyPr rot="0" vert="horz"/>
          <a:lstStyle/>
          <a:p>
            <a:pPr>
              <a:defRPr sz="684" b="1" i="1" u="none" strike="noStrike" baseline="0">
                <a:solidFill>
                  <a:srgbClr val="FFFFFF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6794240"/>
        <c:crosses val="autoZero"/>
        <c:crossBetween val="between"/>
      </c:valAx>
      <c:spPr>
        <a:noFill/>
        <a:ln w="18281">
          <a:noFill/>
        </a:ln>
      </c:spPr>
    </c:plotArea>
    <c:legend>
      <c:legendPos val="b"/>
      <c:layout>
        <c:manualLayout>
          <c:xMode val="edge"/>
          <c:yMode val="edge"/>
          <c:x val="0.20364242900699248"/>
          <c:y val="0.86363641807131564"/>
          <c:w val="0.65066224091243741"/>
          <c:h val="0.12121233895192762"/>
        </c:manualLayout>
      </c:layout>
      <c:spPr>
        <a:noFill/>
        <a:ln w="2285">
          <a:solidFill>
            <a:srgbClr val="000000"/>
          </a:solidFill>
          <a:prstDash val="solid"/>
        </a:ln>
      </c:spPr>
      <c:txPr>
        <a:bodyPr/>
        <a:lstStyle/>
        <a:p>
          <a:pPr>
            <a:defRPr sz="626" b="1" i="1" u="none" strike="noStrike" baseline="0">
              <a:solidFill>
                <a:srgbClr val="FFFFFF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solidFill>
      <a:srgbClr val="99CCFF"/>
    </a:solidFill>
    <a:ln>
      <a:noFill/>
    </a:ln>
  </c:spPr>
  <c:txPr>
    <a:bodyPr/>
    <a:lstStyle/>
    <a:p>
      <a:pPr>
        <a:defRPr sz="684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4503311258278401E-2"/>
          <c:y val="0.10606060606060629"/>
          <c:w val="0.90894039735099363"/>
          <c:h val="0.54545454545454541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Жукомор</c:v>
                </c:pt>
              </c:strCache>
            </c:strRef>
          </c:tx>
          <c:spPr>
            <a:ln w="28170">
              <a:solidFill>
                <a:srgbClr val="000080"/>
              </a:solidFill>
              <a:prstDash val="solid"/>
            </a:ln>
          </c:spPr>
          <c:marker>
            <c:symbol val="x"/>
            <c:size val="6"/>
            <c:spPr>
              <a:noFill/>
              <a:ln>
                <a:solidFill>
                  <a:srgbClr val="333399"/>
                </a:solidFill>
                <a:prstDash val="solid"/>
              </a:ln>
            </c:spPr>
          </c:marker>
          <c:cat>
            <c:numRef>
              <c:f>Sheet1!$B$1:$S$1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</c:numCache>
            </c:numRef>
          </c:cat>
          <c:val>
            <c:numRef>
              <c:f>Sheet1!$B$2:$S$2</c:f>
              <c:numCache>
                <c:formatCode>General</c:formatCode>
                <c:ptCount val="18"/>
                <c:pt idx="0">
                  <c:v>100</c:v>
                </c:pt>
                <c:pt idx="1">
                  <c:v>96</c:v>
                </c:pt>
                <c:pt idx="2">
                  <c:v>78.669999999999987</c:v>
                </c:pt>
                <c:pt idx="3">
                  <c:v>63.33</c:v>
                </c:pt>
                <c:pt idx="4">
                  <c:v>47</c:v>
                </c:pt>
                <c:pt idx="5">
                  <c:v>31.330000000000005</c:v>
                </c:pt>
                <c:pt idx="6">
                  <c:v>20.67</c:v>
                </c:pt>
                <c:pt idx="7">
                  <c:v>19</c:v>
                </c:pt>
                <c:pt idx="8">
                  <c:v>16.329999999999988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Децис</c:v>
                </c:pt>
              </c:strCache>
            </c:strRef>
          </c:tx>
          <c:spPr>
            <a:ln w="28170">
              <a:solidFill>
                <a:srgbClr val="FF00FF"/>
              </a:solidFill>
              <a:prstDash val="solid"/>
            </a:ln>
          </c:spPr>
          <c:marker>
            <c:symbol val="plus"/>
            <c:size val="6"/>
            <c:spPr>
              <a:noFill/>
              <a:ln>
                <a:solidFill>
                  <a:srgbClr val="993300"/>
                </a:solidFill>
                <a:prstDash val="solid"/>
              </a:ln>
            </c:spPr>
          </c:marker>
          <c:cat>
            <c:numRef>
              <c:f>Sheet1!$B$1:$S$1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</c:numCache>
            </c:numRef>
          </c:cat>
          <c:val>
            <c:numRef>
              <c:f>Sheet1!$B$3:$S$3</c:f>
              <c:numCache>
                <c:formatCode>General</c:formatCode>
                <c:ptCount val="18"/>
                <c:pt idx="0">
                  <c:v>90.669999999999987</c:v>
                </c:pt>
                <c:pt idx="1">
                  <c:v>91.33</c:v>
                </c:pt>
                <c:pt idx="2">
                  <c:v>96</c:v>
                </c:pt>
                <c:pt idx="3">
                  <c:v>96</c:v>
                </c:pt>
                <c:pt idx="4">
                  <c:v>96</c:v>
                </c:pt>
                <c:pt idx="5">
                  <c:v>97.33</c:v>
                </c:pt>
                <c:pt idx="6">
                  <c:v>97.669999999999987</c:v>
                </c:pt>
                <c:pt idx="7">
                  <c:v>98</c:v>
                </c:pt>
                <c:pt idx="8">
                  <c:v>98.33</c:v>
                </c:pt>
                <c:pt idx="9">
                  <c:v>98</c:v>
                </c:pt>
                <c:pt idx="10">
                  <c:v>98.33</c:v>
                </c:pt>
                <c:pt idx="11">
                  <c:v>98</c:v>
                </c:pt>
                <c:pt idx="12">
                  <c:v>98.669999999999987</c:v>
                </c:pt>
                <c:pt idx="13">
                  <c:v>98</c:v>
                </c:pt>
                <c:pt idx="14">
                  <c:v>97.669999999999987</c:v>
                </c:pt>
                <c:pt idx="15">
                  <c:v>97.669999999999987</c:v>
                </c:pt>
                <c:pt idx="16">
                  <c:v>98.33</c:v>
                </c:pt>
                <c:pt idx="17">
                  <c:v>98.669999999999987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Конфідор</c:v>
                </c:pt>
              </c:strCache>
            </c:strRef>
          </c:tx>
          <c:spPr>
            <a:ln w="28170">
              <a:solidFill>
                <a:srgbClr val="FFFF00"/>
              </a:solidFill>
              <a:prstDash val="solid"/>
            </a:ln>
          </c:spPr>
          <c:marker>
            <c:symbol val="star"/>
            <c:size val="6"/>
            <c:spPr>
              <a:noFill/>
              <a:ln>
                <a:solidFill>
                  <a:srgbClr val="808000"/>
                </a:solidFill>
                <a:prstDash val="solid"/>
              </a:ln>
            </c:spPr>
          </c:marker>
          <c:dPt>
            <c:idx val="1"/>
            <c:marker>
              <c:symbol val="triangle"/>
              <c:size val="6"/>
            </c:marker>
          </c:dPt>
          <c:cat>
            <c:numRef>
              <c:f>Sheet1!$B$1:$S$1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</c:numCache>
            </c:numRef>
          </c:cat>
          <c:val>
            <c:numRef>
              <c:f>Sheet1!$B$4:$S$4</c:f>
              <c:numCache>
                <c:formatCode>General</c:formatCode>
                <c:ptCount val="18"/>
                <c:pt idx="0">
                  <c:v>96.669999999999987</c:v>
                </c:pt>
                <c:pt idx="1">
                  <c:v>96</c:v>
                </c:pt>
                <c:pt idx="2">
                  <c:v>96</c:v>
                </c:pt>
                <c:pt idx="3">
                  <c:v>95.669999999999987</c:v>
                </c:pt>
                <c:pt idx="4">
                  <c:v>95.33</c:v>
                </c:pt>
                <c:pt idx="5">
                  <c:v>93.33</c:v>
                </c:pt>
                <c:pt idx="6">
                  <c:v>90.33</c:v>
                </c:pt>
                <c:pt idx="7">
                  <c:v>88.33</c:v>
                </c:pt>
                <c:pt idx="8">
                  <c:v>85.669999999999987</c:v>
                </c:pt>
                <c:pt idx="9">
                  <c:v>84</c:v>
                </c:pt>
                <c:pt idx="10">
                  <c:v>81</c:v>
                </c:pt>
                <c:pt idx="11">
                  <c:v>79.669999999999987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Контроль</c:v>
                </c:pt>
              </c:strCache>
            </c:strRef>
          </c:tx>
          <c:spPr>
            <a:ln w="2817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numRef>
              <c:f>Sheet1!$B$1:$S$1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</c:numCache>
            </c:numRef>
          </c:cat>
          <c:val>
            <c:numRef>
              <c:f>Sheet1!$B$5:$S$5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marker val="1"/>
        <c:axId val="76973952"/>
        <c:axId val="83950592"/>
      </c:lineChart>
      <c:catAx>
        <c:axId val="76973952"/>
        <c:scaling>
          <c:orientation val="minMax"/>
        </c:scaling>
        <c:axPos val="b"/>
        <c:numFmt formatCode="General" sourceLinked="1"/>
        <c:tickLblPos val="nextTo"/>
        <c:spPr>
          <a:ln w="234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2" b="1" i="1" u="none" strike="noStrike" baseline="0">
                <a:solidFill>
                  <a:srgbClr val="FFFFFF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3950592"/>
        <c:crosses val="autoZero"/>
        <c:auto val="1"/>
        <c:lblAlgn val="ctr"/>
        <c:lblOffset val="100"/>
        <c:tickLblSkip val="1"/>
        <c:tickMarkSkip val="1"/>
      </c:catAx>
      <c:valAx>
        <c:axId val="83950592"/>
        <c:scaling>
          <c:orientation val="minMax"/>
        </c:scaling>
        <c:axPos val="l"/>
        <c:majorGridlines>
          <c:spPr>
            <a:ln w="939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7043">
            <a:noFill/>
          </a:ln>
        </c:spPr>
        <c:txPr>
          <a:bodyPr rot="0" vert="horz"/>
          <a:lstStyle/>
          <a:p>
            <a:pPr>
              <a:defRPr sz="702" b="1" i="1" u="none" strike="noStrike" baseline="0">
                <a:solidFill>
                  <a:srgbClr val="FFFFFF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6973952"/>
        <c:crosses val="autoZero"/>
        <c:crossBetween val="between"/>
      </c:valAx>
      <c:spPr>
        <a:noFill/>
        <a:ln w="18780">
          <a:noFill/>
        </a:ln>
      </c:spPr>
    </c:plotArea>
    <c:legend>
      <c:legendPos val="b"/>
      <c:layout>
        <c:manualLayout>
          <c:xMode val="edge"/>
          <c:yMode val="edge"/>
          <c:x val="0.20364242900699248"/>
          <c:y val="0.86363641807131564"/>
          <c:w val="0.60128064023692751"/>
          <c:h val="7.5262816482540518E-2"/>
        </c:manualLayout>
      </c:layout>
      <c:spPr>
        <a:noFill/>
        <a:ln w="2348">
          <a:solidFill>
            <a:srgbClr val="000000"/>
          </a:solidFill>
          <a:prstDash val="solid"/>
        </a:ln>
      </c:spPr>
      <c:txPr>
        <a:bodyPr/>
        <a:lstStyle/>
        <a:p>
          <a:pPr>
            <a:defRPr sz="592" b="1" i="1" u="none" strike="noStrike" baseline="0">
              <a:solidFill>
                <a:srgbClr val="FFFFFF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solidFill>
      <a:srgbClr val="99CCFF"/>
    </a:solidFill>
    <a:ln>
      <a:noFill/>
    </a:ln>
  </c:spPr>
  <c:txPr>
    <a:bodyPr/>
    <a:lstStyle/>
    <a:p>
      <a:pPr>
        <a:defRPr sz="702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2195</Words>
  <Characters>12515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Сергей</cp:lastModifiedBy>
  <cp:revision>4</cp:revision>
  <dcterms:created xsi:type="dcterms:W3CDTF">2016-05-16T08:31:00Z</dcterms:created>
  <dcterms:modified xsi:type="dcterms:W3CDTF">2016-05-19T17:57:00Z</dcterms:modified>
</cp:coreProperties>
</file>