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20" w:rsidRDefault="009A0B20" w:rsidP="009A0B20">
      <w:pP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УДК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502.53:631.4</w:t>
      </w:r>
    </w:p>
    <w:p w:rsidR="009A0B20" w:rsidRDefault="009A0B20" w:rsidP="009A0B2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АГРОЕКОЛОГІЧНИЙ МОНІТОРИНГ СТАНУ ҐРУНТІВ ТОВ «АГРОВІТ» (С. ЛЕСЬКОВЕ МОНАСТ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РИЩЕНСЬКОГО РАЙОНУ ЧЕРКАСЬКОЇ ОБЛ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АСТІ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A0B20" w:rsidRDefault="009A0B20" w:rsidP="009A0B2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0B20" w:rsidRDefault="009A0B20" w:rsidP="009A0B2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І. П. СУХАНОВА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канд. біол. наук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9A0B20" w:rsidRDefault="009A0B20" w:rsidP="009A0B2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А. В. БАЛАБАК, канд. с.-г. наук </w:t>
      </w:r>
    </w:p>
    <w:p w:rsidR="009A0B20" w:rsidRDefault="009A0B20" w:rsidP="009A0B2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Уманський національний університет садівництва</w:t>
      </w:r>
    </w:p>
    <w:p w:rsidR="009A0B20" w:rsidRDefault="009A0B20" w:rsidP="009A0B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B20" w:rsidRDefault="009A0B20" w:rsidP="009A0B2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результаті агроекологічного моніторингу стану ґрунтів в агрофітоценозах </w:t>
      </w:r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ТОВ «</w:t>
      </w:r>
      <w:proofErr w:type="spellStart"/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Агровіт</w:t>
      </w:r>
      <w:proofErr w:type="spellEnd"/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» в </w:t>
      </w:r>
      <w:proofErr w:type="spellStart"/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Монастерищенському</w:t>
      </w:r>
      <w:proofErr w:type="spellEnd"/>
      <w:r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районі Черкаської області</w:t>
      </w:r>
      <w:r>
        <w:rPr>
          <w:rFonts w:ascii="Times New Roman" w:hAnsi="Times New Roman" w:cs="Times New Roman"/>
          <w:i/>
          <w:sz w:val="28"/>
          <w:szCs w:val="28"/>
        </w:rPr>
        <w:t xml:space="preserve"> встановлено, що вміст азоту в більшості випадків перевершує встановлені ДСТУ нормативи – на 6 – 34 мг/кг. Вміст гумусу – в межах ДСТУ. Калію та фосфору – нижче. </w:t>
      </w:r>
    </w:p>
    <w:p w:rsidR="009A0B20" w:rsidRDefault="009A0B20" w:rsidP="009A0B2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Ключові слова</w:t>
      </w:r>
      <w:r>
        <w:rPr>
          <w:rFonts w:ascii="Times New Roman" w:hAnsi="Times New Roman" w:cs="Times New Roman"/>
          <w:i/>
          <w:sz w:val="28"/>
          <w:szCs w:val="28"/>
        </w:rPr>
        <w:t>: агроекологічний моніторинг, агрофітоценоз, гумус, азот, що легко гідролізується, рухомий фосфор, рухомий калій.</w:t>
      </w:r>
    </w:p>
    <w:p w:rsidR="009A0B20" w:rsidRDefault="009A0B20" w:rsidP="009A0B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B20" w:rsidRDefault="009A0B20" w:rsidP="009A0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останні десятиліття майже всі землі сільськогосподарського використання в Україні зазнали відчутної деградації, зумовленої, насамперед, інтенсивною системою ведення сільського господарства </w:t>
      </w:r>
      <w:r>
        <w:rPr>
          <w:rFonts w:ascii="Times New Roman" w:hAnsi="Times New Roman" w:cs="Times New Roman"/>
          <w:bCs/>
          <w:iCs/>
          <w:sz w:val="28"/>
          <w:szCs w:val="28"/>
        </w:rPr>
        <w:t>[1, 2]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B20" w:rsidRDefault="009A0B20" w:rsidP="009A0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 досить актуальною є проблема організації постійно діючого агроекологічного моніторингу, головною метою якого є формування екологічно-обґрунтованої методологічної бази для створення високоефективних, екологічно-збалансованих агроценозів </w:t>
      </w:r>
      <w:r>
        <w:rPr>
          <w:rFonts w:ascii="Times New Roman" w:hAnsi="Times New Roman" w:cs="Times New Roman"/>
          <w:bCs/>
          <w:iCs/>
          <w:sz w:val="28"/>
          <w:szCs w:val="28"/>
        </w:rPr>
        <w:t>[3, 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B20" w:rsidRDefault="009A0B20" w:rsidP="009A0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те, що будь-які природні екосистеми оточені земельними угіддями сільськогосподарського призначення, для збереження чи відновлення функціональності перших необхідною є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комплексна оцінка факторів ймовірного на них впливу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Це додатково підтверджує необхідність проведення агроекологічного моніторингу земель с-г використання. </w:t>
      </w:r>
    </w:p>
    <w:p w:rsidR="009A0B20" w:rsidRDefault="009A0B20" w:rsidP="009A0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Мета роботи – агроекологічна оцінка стану ґрунтів в агрофітоценозах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ТОВ «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Агровіт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» в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Монастерищенському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районі Черкаської області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B20" w:rsidRDefault="009A0B20" w:rsidP="009A0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досягнення поставленої мети вирішували наступні завдання:</w:t>
      </w:r>
    </w:p>
    <w:p w:rsidR="009A0B20" w:rsidRDefault="009A0B20" w:rsidP="009A0B20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вмісту</w:t>
      </w:r>
      <w:proofErr w:type="spellEnd"/>
      <w:r>
        <w:rPr>
          <w:rFonts w:ascii="Times New Roman" w:hAnsi="Times New Roman"/>
          <w:sz w:val="28"/>
          <w:szCs w:val="28"/>
        </w:rPr>
        <w:t xml:space="preserve"> гумусу в </w:t>
      </w:r>
      <w:proofErr w:type="spellStart"/>
      <w:r>
        <w:rPr>
          <w:rFonts w:ascii="Times New Roman" w:hAnsi="Times New Roman"/>
          <w:sz w:val="28"/>
          <w:szCs w:val="28"/>
        </w:rPr>
        <w:t>орному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ґрунту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A0B20" w:rsidRDefault="009A0B20" w:rsidP="009A0B20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вмісту</w:t>
      </w:r>
      <w:proofErr w:type="spellEnd"/>
      <w:r>
        <w:rPr>
          <w:rFonts w:ascii="Times New Roman" w:hAnsi="Times New Roman"/>
          <w:sz w:val="28"/>
          <w:szCs w:val="28"/>
        </w:rPr>
        <w:t xml:space="preserve"> азоту,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легко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ідролізується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A0B20" w:rsidRDefault="009A0B20" w:rsidP="009A0B20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вмісту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рухомого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фосфору та </w:t>
      </w:r>
      <w:proofErr w:type="spellStart"/>
      <w:r>
        <w:rPr>
          <w:rFonts w:ascii="Times New Roman" w:hAnsi="Times New Roman"/>
          <w:sz w:val="28"/>
          <w:szCs w:val="28"/>
        </w:rPr>
        <w:t>рухомого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калію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A0B20" w:rsidRDefault="009A0B20" w:rsidP="009A0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досліджень. </w:t>
      </w:r>
      <w:r>
        <w:rPr>
          <w:rFonts w:ascii="Times New Roman" w:hAnsi="Times New Roman" w:cs="Times New Roman"/>
          <w:sz w:val="28"/>
          <w:szCs w:val="28"/>
        </w:rPr>
        <w:t>Агрохімічні параметри ґрунтів в агрофітоценозах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(філіал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Леськове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Монастерищенському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Черкаської обл.) визначали у 2013 та 2014 рр. відповідно методам, викладеним у посібниках з агрохімічного аналізу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[5,6]: </w:t>
      </w:r>
      <w:r>
        <w:rPr>
          <w:rFonts w:ascii="Times New Roman" w:hAnsi="Times New Roman" w:cs="Times New Roman"/>
          <w:sz w:val="28"/>
          <w:szCs w:val="28"/>
        </w:rPr>
        <w:t xml:space="preserve">вміст гумусу в орному шарі ґрунту − за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вміст азоту, що легко гідролізується ‒ за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Корнфільда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вміст рухомого фосфору та рухомого калію ‒ за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Мачигіна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Повторність дослідів – 5-кратна. </w:t>
      </w:r>
    </w:p>
    <w:p w:rsidR="009A0B20" w:rsidRDefault="009A0B20" w:rsidP="009A0B20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Вс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математичні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розрахунки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проводили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допомогою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>.</w:t>
      </w:r>
    </w:p>
    <w:p w:rsidR="009A0B20" w:rsidRDefault="009A0B20" w:rsidP="009A0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Отримані результати порівнювали зі встановленими ДСТУ нормативами показників родючості ґрунтів земельних ділянок сільськогосподарської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[7]. </w:t>
      </w:r>
    </w:p>
    <w:p w:rsidR="009A0B20" w:rsidRDefault="009A0B20" w:rsidP="009A0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Результати досліджень. </w:t>
      </w:r>
      <w:r>
        <w:rPr>
          <w:rFonts w:ascii="Times New Roman" w:hAnsi="Times New Roman" w:cs="Times New Roman"/>
          <w:sz w:val="28"/>
          <w:szCs w:val="28"/>
        </w:rPr>
        <w:t xml:space="preserve">В результаті аналізу даних щодо ряду агрохімічних факторів родючості ґрунтів (Рис.) встановлено, що показники вмісту гумусу в орному шарі ґрунту в цілому суттєво не відрізняються від встановлених ДСТУ значень. А в полі № 2 навіть є вищим на 0,8 %. Але, беручи до уваги, що для типових чорноземів, які домінують в досліджуваних агрофітоценозах, вміст гумусу міг би складати 4,0 ‒ 4,4 % [1] можна додатково підтвердити одну з ознак деградації ґрунтів – їх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дегуміфікацію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[2]. Подібного 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деградаційні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процеси антропогенного походження вказують на необхідність переходу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екологічно‒толерантних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моделей землекористування, які, зокрема, включають внесення органічних добрив (гній ВРХ підстилковий, гній ВРХ напіврідкий, гній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рідкий, компост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торфо-гноєвий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(1:1), сапропель, курячий послід підстилковий,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біогумус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тощо) [4, 8].</w:t>
      </w:r>
    </w:p>
    <w:p w:rsidR="009A0B20" w:rsidRDefault="009A0B20" w:rsidP="009A0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Вміст азоту, що легко гідролізується, визначеного за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Корнфільда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більшості випадків перевершує встановлені ДСТУ нормативи – на 6 – 34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мг/кг (див Рис.). Найменшу різницю з показником ДСТУ (6 мг/кг) виявлено в полі № 6. Це свідчить, що господарства в цілому зловживають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азотмісткими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добривами, що може призвести до невтішних екологічних наслідків. Насамперед,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евтрифікації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середовищ мешкання живого і порушення екологічної рівноваги у цілому.</w:t>
      </w:r>
    </w:p>
    <w:p w:rsidR="009A0B20" w:rsidRDefault="009A0B20" w:rsidP="009A0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Вміст рухомого фосфору в усіх випадках нижчий встановлених ДСТУ показників – на 10 – 49 мг/кг (див. Рис.). Це дозволяє рекомендувати господарству внесення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фосфорутримуючих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добрив. Оскільки потреба живих організмів в цьому біогенному елементі досить висока. Він входить до складу біологічних мембран, нуклеїнових кислот тощо. Найбільш вживаним в фермерських господарствах Уманського району (наприклад,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») є суперфосфат. Цей препарат дозволений для використання в Україні відповідно до Переліку… [9]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0B20" w:rsidRDefault="009A0B20" w:rsidP="009A0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Вміст рухомого калію (див. Рис.), переважно, нижчий встановлених ДСТУ нормативів (на 7 – 42 мг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кг). Лише у полях № № 4 та 9 перевершує їх (на 6 – 16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мг/кг). Можливо, в даних агрофітоценозах і не потрібні певні агрономічні заходи. Але щодо інших полів, то господарству можна рекомендувати внесення калійних добрив. Наприклад, сульфату калію, який входить до того ж Переліку [9]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0B20" w:rsidRDefault="009A0B20" w:rsidP="009A0B2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0B20" w:rsidRDefault="009A0B20" w:rsidP="009A0B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B20" w:rsidRDefault="009A0B20" w:rsidP="009A0B20">
      <w:pPr>
        <w:spacing w:after="0"/>
        <w:rPr>
          <w:rFonts w:ascii="Times New Roman" w:hAnsi="Times New Roman" w:cs="Times New Roman"/>
          <w:sz w:val="28"/>
          <w:szCs w:val="28"/>
        </w:rPr>
        <w:sectPr w:rsidR="009A0B20">
          <w:pgSz w:w="11906" w:h="16838"/>
          <w:pgMar w:top="1134" w:right="1134" w:bottom="1134" w:left="1134" w:header="709" w:footer="709" w:gutter="0"/>
          <w:cols w:space="720"/>
        </w:sectPr>
      </w:pPr>
    </w:p>
    <w:p w:rsidR="009A0B20" w:rsidRDefault="009A0B20" w:rsidP="009A0B2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anchor distT="0" distB="2733" distL="114300" distR="114300" simplePos="0" relativeHeight="25165619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-75565</wp:posOffset>
            </wp:positionV>
            <wp:extent cx="4523105" cy="2529840"/>
            <wp:effectExtent l="0" t="0" r="0" b="0"/>
            <wp:wrapNone/>
            <wp:docPr id="2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254" distL="114300" distR="114300" simplePos="0" relativeHeight="25165721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2566035</wp:posOffset>
            </wp:positionV>
            <wp:extent cx="4523105" cy="2541905"/>
            <wp:effectExtent l="0" t="0" r="0" b="0"/>
            <wp:wrapNone/>
            <wp:docPr id="4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2733" distL="114300" distR="114300" simplePos="0" relativeHeight="251658240" behindDoc="0" locked="0" layoutInCell="1" allowOverlap="1">
            <wp:simplePos x="0" y="0"/>
            <wp:positionH relativeFrom="column">
              <wp:posOffset>4732655</wp:posOffset>
            </wp:positionH>
            <wp:positionV relativeFrom="paragraph">
              <wp:posOffset>-75565</wp:posOffset>
            </wp:positionV>
            <wp:extent cx="4523105" cy="2529840"/>
            <wp:effectExtent l="0" t="0" r="0" b="0"/>
            <wp:wrapNone/>
            <wp:docPr id="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254" distL="114300" distR="114300" simplePos="0" relativeHeight="251659264" behindDoc="0" locked="0" layoutInCell="1" allowOverlap="1">
            <wp:simplePos x="0" y="0"/>
            <wp:positionH relativeFrom="column">
              <wp:posOffset>4732655</wp:posOffset>
            </wp:positionH>
            <wp:positionV relativeFrom="paragraph">
              <wp:posOffset>2566035</wp:posOffset>
            </wp:positionV>
            <wp:extent cx="4523105" cy="2541905"/>
            <wp:effectExtent l="0" t="0" r="0" b="0"/>
            <wp:wrapNone/>
            <wp:docPr id="3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9A0B20" w:rsidRDefault="009A0B20" w:rsidP="009A0B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B20" w:rsidRDefault="009A0B20" w:rsidP="009A0B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B20" w:rsidRDefault="009A0B20" w:rsidP="009A0B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B20" w:rsidRDefault="009A0B20" w:rsidP="009A0B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B20" w:rsidRDefault="009A0B20" w:rsidP="009A0B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B20" w:rsidRDefault="009A0B20" w:rsidP="009A0B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B20" w:rsidRDefault="009A0B20" w:rsidP="009A0B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B20" w:rsidRDefault="009A0B20" w:rsidP="009A0B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B20" w:rsidRDefault="009A0B20" w:rsidP="009A0B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B20" w:rsidRDefault="009A0B20" w:rsidP="009A0B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B20" w:rsidRDefault="009A0B20" w:rsidP="009A0B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B20" w:rsidRDefault="009A0B20" w:rsidP="009A0B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B20" w:rsidRDefault="009A0B20" w:rsidP="009A0B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B20" w:rsidRDefault="009A0B20" w:rsidP="009A0B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B20" w:rsidRDefault="009A0B20" w:rsidP="009A0B20">
      <w:pPr>
        <w:ind w:right="141"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 Основні агрохімічні фактори родючості ґрунтів в агрофітоценозах ТОВ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Агровіт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9A0B20" w:rsidRDefault="009A0B20" w:rsidP="009A0B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B20" w:rsidRDefault="009A0B20" w:rsidP="009A0B20">
      <w:pPr>
        <w:spacing w:after="0"/>
        <w:rPr>
          <w:rFonts w:ascii="Times New Roman" w:hAnsi="Times New Roman" w:cs="Times New Roman"/>
          <w:sz w:val="28"/>
          <w:szCs w:val="28"/>
        </w:rPr>
        <w:sectPr w:rsidR="009A0B20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9A0B20" w:rsidRDefault="009A0B20" w:rsidP="009A0B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Висновки.</w:t>
      </w:r>
    </w:p>
    <w:p w:rsidR="009A0B20" w:rsidRDefault="009A0B20" w:rsidP="009A0B20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вмі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гумусу в </w:t>
      </w:r>
      <w:proofErr w:type="spellStart"/>
      <w:r>
        <w:rPr>
          <w:rFonts w:ascii="Times New Roman" w:hAnsi="Times New Roman"/>
          <w:sz w:val="28"/>
          <w:szCs w:val="28"/>
        </w:rPr>
        <w:t>орному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ґрунту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досліджуваних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агрофітоценозах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суттєво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відрізняється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показників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ДСТУ. </w:t>
      </w:r>
    </w:p>
    <w:p w:rsidR="009A0B20" w:rsidRDefault="009A0B20" w:rsidP="009A0B20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Вмі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азоту,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легко </w:t>
      </w:r>
      <w:proofErr w:type="spellStart"/>
      <w:r>
        <w:rPr>
          <w:rFonts w:ascii="Times New Roman" w:hAnsi="Times New Roman"/>
          <w:sz w:val="28"/>
          <w:szCs w:val="28"/>
        </w:rPr>
        <w:t>гідролізується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більшості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випадків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перевершує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ДСТУ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нормативи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 6 – 34 мг/кг. </w:t>
      </w:r>
      <w:proofErr w:type="spellStart"/>
      <w:r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небажаних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екологічних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такого </w:t>
      </w:r>
      <w:proofErr w:type="spellStart"/>
      <w:r>
        <w:rPr>
          <w:rFonts w:ascii="Times New Roman" w:hAnsi="Times New Roman"/>
          <w:sz w:val="28"/>
          <w:szCs w:val="28"/>
        </w:rPr>
        <w:t>явища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евтрифікація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мешкання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живого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порушення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екологічної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івноваги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A0B20" w:rsidRDefault="009A0B20" w:rsidP="009A0B20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Вмі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рухомого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фосфору в </w:t>
      </w:r>
      <w:proofErr w:type="spellStart"/>
      <w:r>
        <w:rPr>
          <w:rFonts w:ascii="Times New Roman" w:hAnsi="Times New Roman"/>
          <w:sz w:val="28"/>
          <w:szCs w:val="28"/>
        </w:rPr>
        <w:t>усіх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випадках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нижчий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ДСТУ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показників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 10 – 49 мг/кг.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дозволяє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рекомендувати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господарству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/>
          <w:sz w:val="28"/>
          <w:szCs w:val="28"/>
        </w:rPr>
        <w:t xml:space="preserve">, суперфосфату,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входить до </w:t>
      </w:r>
      <w:proofErr w:type="spellStart"/>
      <w:r>
        <w:rPr>
          <w:rFonts w:ascii="Times New Roman" w:hAnsi="Times New Roman"/>
          <w:sz w:val="28"/>
          <w:szCs w:val="28"/>
        </w:rPr>
        <w:t>Переліку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пестицидів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агрохімікатів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дозволених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A0B20" w:rsidRPr="009A0B20" w:rsidRDefault="009A0B20" w:rsidP="009A0B20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Вмі</w:t>
      </w:r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рухомого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калію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переважно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нижчий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ДСТУ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нормативів</w:t>
      </w:r>
      <w:proofErr w:type="spellEnd"/>
      <w:r>
        <w:rPr>
          <w:rFonts w:ascii="Times New Roman" w:hAnsi="Times New Roman"/>
          <w:sz w:val="28"/>
          <w:szCs w:val="28"/>
        </w:rPr>
        <w:t xml:space="preserve"> (на 7 – 42 мг/кг).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дозволяє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рекомендувати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господарству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добрив. </w:t>
      </w:r>
      <w:proofErr w:type="spellStart"/>
      <w:r>
        <w:rPr>
          <w:rFonts w:ascii="Times New Roman" w:hAnsi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/>
          <w:sz w:val="28"/>
          <w:szCs w:val="28"/>
        </w:rPr>
        <w:t xml:space="preserve">, сульфату </w:t>
      </w:r>
      <w:proofErr w:type="spellStart"/>
      <w:r>
        <w:rPr>
          <w:rFonts w:ascii="Times New Roman" w:hAnsi="Times New Roman"/>
          <w:sz w:val="28"/>
          <w:szCs w:val="28"/>
        </w:rPr>
        <w:t>калію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входить до </w:t>
      </w:r>
      <w:proofErr w:type="spellStart"/>
      <w:r>
        <w:rPr>
          <w:rFonts w:ascii="Times New Roman" w:hAnsi="Times New Roman"/>
          <w:sz w:val="28"/>
          <w:szCs w:val="28"/>
        </w:rPr>
        <w:t>згаданого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переліку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A0B20" w:rsidRDefault="009A0B20" w:rsidP="009A0B20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A0B20" w:rsidRDefault="009A0B20" w:rsidP="009A0B2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9A0B20" w:rsidRDefault="009A0B20" w:rsidP="009A0B20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Носко Б.С. </w:t>
      </w:r>
      <w:proofErr w:type="spellStart"/>
      <w:r>
        <w:rPr>
          <w:rFonts w:ascii="Times New Roman" w:hAnsi="Times New Roman"/>
          <w:sz w:val="28"/>
          <w:szCs w:val="28"/>
        </w:rPr>
        <w:t>Антропогенна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еволюція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чорноземів</w:t>
      </w:r>
      <w:proofErr w:type="spellEnd"/>
      <w:r>
        <w:rPr>
          <w:rFonts w:ascii="Times New Roman" w:hAnsi="Times New Roman"/>
          <w:sz w:val="28"/>
          <w:szCs w:val="28"/>
        </w:rPr>
        <w:t xml:space="preserve"> /  Б.С. Носко. – Х.: Вид - во. 13 </w:t>
      </w:r>
      <w:proofErr w:type="spellStart"/>
      <w:r>
        <w:rPr>
          <w:rFonts w:ascii="Times New Roman" w:hAnsi="Times New Roman"/>
          <w:sz w:val="28"/>
          <w:szCs w:val="28"/>
        </w:rPr>
        <w:t>типографія</w:t>
      </w:r>
      <w:proofErr w:type="spellEnd"/>
      <w:r>
        <w:rPr>
          <w:rFonts w:ascii="Times New Roman" w:hAnsi="Times New Roman"/>
          <w:sz w:val="28"/>
          <w:szCs w:val="28"/>
        </w:rPr>
        <w:t xml:space="preserve">, 20011. – 239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A0B20" w:rsidRDefault="009A0B20" w:rsidP="009A0B20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 </w:t>
      </w:r>
      <w:proofErr w:type="spellStart"/>
      <w:r>
        <w:rPr>
          <w:rFonts w:ascii="Times New Roman" w:hAnsi="Times New Roman"/>
          <w:sz w:val="28"/>
          <w:szCs w:val="28"/>
        </w:rPr>
        <w:t>родючості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ґрунтів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та прогноз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</w:t>
      </w:r>
      <w:proofErr w:type="spellEnd"/>
      <w:r>
        <w:rPr>
          <w:rFonts w:ascii="Times New Roman" w:hAnsi="Times New Roman"/>
          <w:sz w:val="28"/>
          <w:szCs w:val="28"/>
        </w:rPr>
        <w:t xml:space="preserve"> за умов </w:t>
      </w:r>
      <w:proofErr w:type="spellStart"/>
      <w:r>
        <w:rPr>
          <w:rFonts w:ascii="Times New Roman" w:hAnsi="Times New Roman"/>
          <w:sz w:val="28"/>
          <w:szCs w:val="28"/>
        </w:rPr>
        <w:t>сучасного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землеробства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/ З</w:t>
      </w:r>
      <w:proofErr w:type="gramEnd"/>
      <w:r>
        <w:rPr>
          <w:rFonts w:ascii="Times New Roman" w:hAnsi="Times New Roman"/>
          <w:sz w:val="28"/>
          <w:szCs w:val="28"/>
        </w:rPr>
        <w:t xml:space="preserve">а ред. В.В. </w:t>
      </w:r>
      <w:proofErr w:type="spellStart"/>
      <w:r>
        <w:rPr>
          <w:rFonts w:ascii="Times New Roman" w:hAnsi="Times New Roman"/>
          <w:sz w:val="28"/>
          <w:szCs w:val="28"/>
        </w:rPr>
        <w:t>Медведєва</w:t>
      </w:r>
      <w:proofErr w:type="spellEnd"/>
      <w:r>
        <w:rPr>
          <w:rFonts w:ascii="Times New Roman" w:hAnsi="Times New Roman"/>
          <w:sz w:val="28"/>
          <w:szCs w:val="28"/>
        </w:rPr>
        <w:t xml:space="preserve">, М.В. </w:t>
      </w:r>
      <w:proofErr w:type="spellStart"/>
      <w:r>
        <w:rPr>
          <w:rFonts w:ascii="Times New Roman" w:hAnsi="Times New Roman"/>
          <w:sz w:val="28"/>
          <w:szCs w:val="28"/>
        </w:rPr>
        <w:t>Лісового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.– Х.: </w:t>
      </w:r>
      <w:proofErr w:type="spellStart"/>
      <w:r>
        <w:rPr>
          <w:rFonts w:ascii="Times New Roman" w:hAnsi="Times New Roman"/>
          <w:sz w:val="28"/>
          <w:szCs w:val="28"/>
        </w:rPr>
        <w:t>Штріх</w:t>
      </w:r>
      <w:proofErr w:type="spellEnd"/>
      <w:r>
        <w:rPr>
          <w:rFonts w:ascii="Times New Roman" w:hAnsi="Times New Roman"/>
          <w:sz w:val="28"/>
          <w:szCs w:val="28"/>
        </w:rPr>
        <w:t>, 2010. –100 с.</w:t>
      </w:r>
    </w:p>
    <w:p w:rsidR="009A0B20" w:rsidRDefault="009A0B20" w:rsidP="009A0B20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Наукові основи моніторингу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агроекосистем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України /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Н.А. Макаренко // Екологія: проблеми адаптивно-ландшафтного землеробства: Житомир, 16–18 червня 2005 р. – Житомир: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агроекол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ун-т, 2005. – С.108 – 111. </w:t>
      </w:r>
    </w:p>
    <w:p w:rsidR="009A0B20" w:rsidRDefault="009A0B20" w:rsidP="009A0B20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Агроекологія: теорія та практикум./ В.М. Писаренко та ін. – Полтава: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Інтерграфіка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 – 318 с.</w:t>
      </w:r>
    </w:p>
    <w:p w:rsidR="009A0B20" w:rsidRDefault="009A0B20" w:rsidP="009A0B20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Агрохімічний аналіз: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посібник / [Городній М.М.,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Лісовал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та ін.]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Арістей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 – С. 468.</w:t>
      </w:r>
    </w:p>
    <w:p w:rsidR="009A0B20" w:rsidRDefault="009A0B20" w:rsidP="009A0B20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Агрохімія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ібник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Геркіял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 М.,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Господаренко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Г.М.,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Коларьков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Ю. В.</w:t>
      </w:r>
      <w:r>
        <w:rPr>
          <w:rFonts w:ascii="Times New Roman" w:hAnsi="Times New Roman" w:cs="Times New Roman"/>
          <w:sz w:val="28"/>
          <w:szCs w:val="28"/>
        </w:rPr>
        <w:t>]. – Умань, 2008. – 300 с.</w:t>
      </w:r>
    </w:p>
    <w:p w:rsidR="009A0B20" w:rsidRDefault="009A0B20" w:rsidP="009A0B20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Якість ґрунту. Показники родючості ґрунту: ДСТУ 4362:2004. - [Чинний від 2006 – 01 - 01]. – К.: Держспоживстандарт України, 2006. – 19 с.</w:t>
      </w:r>
    </w:p>
    <w:p w:rsidR="009A0B20" w:rsidRDefault="009A0B20" w:rsidP="009A0B20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Сонько</w:t>
      </w:r>
      <w:proofErr w:type="spellEnd"/>
      <w:r>
        <w:rPr>
          <w:rFonts w:ascii="Times New Roman" w:hAnsi="Times New Roman"/>
          <w:sz w:val="28"/>
          <w:szCs w:val="28"/>
        </w:rPr>
        <w:t xml:space="preserve"> С. П.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вермикультури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Правобережного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ісостепу</w:t>
      </w:r>
      <w:proofErr w:type="spellEnd"/>
      <w:r>
        <w:rPr>
          <w:rFonts w:ascii="Times New Roman" w:hAnsi="Times New Roman"/>
          <w:sz w:val="28"/>
          <w:szCs w:val="28"/>
        </w:rPr>
        <w:t xml:space="preserve"> / С. П. </w:t>
      </w:r>
      <w:proofErr w:type="spellStart"/>
      <w:r>
        <w:rPr>
          <w:rFonts w:ascii="Times New Roman" w:hAnsi="Times New Roman"/>
          <w:sz w:val="28"/>
          <w:szCs w:val="28"/>
        </w:rPr>
        <w:t>Сонько</w:t>
      </w:r>
      <w:proofErr w:type="spellEnd"/>
      <w:r>
        <w:rPr>
          <w:rFonts w:ascii="Times New Roman" w:hAnsi="Times New Roman"/>
          <w:sz w:val="28"/>
          <w:szCs w:val="28"/>
        </w:rPr>
        <w:t xml:space="preserve">, І. П. Суханова, О. В. Василенко // </w:t>
      </w:r>
      <w:proofErr w:type="spellStart"/>
      <w:r>
        <w:rPr>
          <w:rFonts w:ascii="Times New Roman" w:hAnsi="Times New Roman"/>
          <w:sz w:val="28"/>
          <w:szCs w:val="28"/>
        </w:rPr>
        <w:t>Зб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Наук. </w:t>
      </w:r>
      <w:proofErr w:type="spellStart"/>
      <w:r>
        <w:rPr>
          <w:rFonts w:ascii="Times New Roman" w:hAnsi="Times New Roman"/>
          <w:sz w:val="28"/>
          <w:szCs w:val="28"/>
        </w:rPr>
        <w:t>Праць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Уманського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садівництва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. Част.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Агрономія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Вип</w:t>
      </w:r>
      <w:proofErr w:type="spellEnd"/>
      <w:r>
        <w:rPr>
          <w:rFonts w:ascii="Times New Roman" w:hAnsi="Times New Roman"/>
          <w:sz w:val="28"/>
          <w:szCs w:val="28"/>
        </w:rPr>
        <w:t>. 73. – Умань, 2010. –  С. 216 – 223.</w:t>
      </w:r>
    </w:p>
    <w:p w:rsidR="009A0B20" w:rsidRDefault="009A0B20" w:rsidP="009A0B20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Перелі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пестицидів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агрохімікатів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 / [</w:t>
      </w:r>
      <w:proofErr w:type="spellStart"/>
      <w:r>
        <w:rPr>
          <w:rFonts w:ascii="Times New Roman" w:hAnsi="Times New Roman"/>
          <w:sz w:val="28"/>
          <w:szCs w:val="28"/>
        </w:rPr>
        <w:t>Ящук</w:t>
      </w:r>
      <w:proofErr w:type="spellEnd"/>
      <w:r>
        <w:rPr>
          <w:rFonts w:ascii="Times New Roman" w:hAnsi="Times New Roman"/>
          <w:sz w:val="28"/>
          <w:szCs w:val="28"/>
        </w:rPr>
        <w:t xml:space="preserve"> В. У., </w:t>
      </w:r>
      <w:proofErr w:type="spellStart"/>
      <w:r>
        <w:rPr>
          <w:rFonts w:ascii="Times New Roman" w:hAnsi="Times New Roman"/>
          <w:sz w:val="28"/>
          <w:szCs w:val="28"/>
        </w:rPr>
        <w:t>Іванов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Д. В., </w:t>
      </w:r>
      <w:proofErr w:type="spellStart"/>
      <w:r>
        <w:rPr>
          <w:rFonts w:ascii="Times New Roman" w:hAnsi="Times New Roman"/>
          <w:sz w:val="28"/>
          <w:szCs w:val="28"/>
        </w:rPr>
        <w:t>Капліна</w:t>
      </w:r>
      <w:proofErr w:type="spellEnd"/>
      <w:r>
        <w:rPr>
          <w:rFonts w:ascii="Times New Roman" w:hAnsi="Times New Roman"/>
          <w:sz w:val="28"/>
          <w:szCs w:val="28"/>
        </w:rPr>
        <w:t xml:space="preserve"> О. Л. та </w:t>
      </w:r>
      <w:proofErr w:type="spellStart"/>
      <w:r>
        <w:rPr>
          <w:rFonts w:ascii="Times New Roman" w:hAnsi="Times New Roman"/>
          <w:sz w:val="28"/>
          <w:szCs w:val="28"/>
        </w:rPr>
        <w:t>ін</w:t>
      </w:r>
      <w:proofErr w:type="spellEnd"/>
      <w:r>
        <w:rPr>
          <w:rFonts w:ascii="Times New Roman" w:hAnsi="Times New Roman"/>
          <w:sz w:val="28"/>
          <w:szCs w:val="28"/>
        </w:rPr>
        <w:t xml:space="preserve">.]. – </w:t>
      </w:r>
      <w:proofErr w:type="spellStart"/>
      <w:r>
        <w:rPr>
          <w:rFonts w:ascii="Times New Roman" w:hAnsi="Times New Roman"/>
          <w:sz w:val="28"/>
          <w:szCs w:val="28"/>
        </w:rPr>
        <w:t>Київ</w:t>
      </w:r>
      <w:proofErr w:type="spellEnd"/>
      <w:r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Юнівест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Медіа</w:t>
      </w:r>
      <w:proofErr w:type="spellEnd"/>
      <w:r>
        <w:rPr>
          <w:rFonts w:ascii="Times New Roman" w:hAnsi="Times New Roman"/>
          <w:sz w:val="28"/>
          <w:szCs w:val="28"/>
        </w:rPr>
        <w:t>», 2010. – 544 с.</w:t>
      </w:r>
    </w:p>
    <w:p w:rsidR="009A0B20" w:rsidRDefault="009A0B20" w:rsidP="009A0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0B20" w:rsidRDefault="009A0B20" w:rsidP="009A0B20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И. П.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Суханова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А. В.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Балабак</w:t>
      </w:r>
      <w:proofErr w:type="spellEnd"/>
    </w:p>
    <w:p w:rsidR="009A0B20" w:rsidRDefault="009A0B20" w:rsidP="009A0B2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АГРО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Э</w:t>
      </w:r>
      <w:r>
        <w:rPr>
          <w:rFonts w:ascii="Times New Roman" w:hAnsi="Times New Roman" w:cs="Times New Roman"/>
          <w:b/>
          <w:i/>
          <w:sz w:val="28"/>
          <w:szCs w:val="28"/>
        </w:rPr>
        <w:t>КОЛОГИЧЕСКИЙ МОН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ТОРИНГ СОСТОЯНИЯ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ПОЧВ ТОО «АГРОВИТ» (С.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ЛЕСЬКОВОЕ МОНАСТЕРИЩЕНСКОГО РАЙОНА ЧЕРКАССКОЙ ОБЛАСТИ)</w:t>
      </w:r>
      <w:proofErr w:type="gramEnd"/>
    </w:p>
    <w:p w:rsidR="009A0B20" w:rsidRDefault="009A0B20" w:rsidP="009A0B2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Интенсивные системы ведения сельского хозяйства приводят к антропогенной деградации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педосферы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. Поэтому необходимым является постоянно действующий агроэкологический мониторинг, основной целью которого является образование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высокоэффективных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, экологически сбалансированных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агрофитоценозов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</w:p>
    <w:p w:rsidR="009A0B20" w:rsidRDefault="009A0B20" w:rsidP="009A0B2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Цель настоящей работы – агроэкологическая оценка состояния почв 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агрофитоценозах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ТОО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Агровит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Монастерищенском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районе Черкасской области.</w:t>
      </w:r>
    </w:p>
    <w:p w:rsidR="009A0B20" w:rsidRDefault="009A0B20" w:rsidP="009A0B2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Согласно цели определяли содержание гумуса в пахотном слое почвы, легко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гидролизирующего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азота, подвижного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фофора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калия. </w:t>
      </w:r>
    </w:p>
    <w:p w:rsidR="009A0B20" w:rsidRDefault="009A0B20" w:rsidP="009A0B2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Исследования проводили в 2013 – 2014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гг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соответственно методикам, изложенным в пособиях с агрохимического анализа: определение содержание гумуса – методом Тюрина, азота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Корнфильда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, фосфора, калия 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Мачигина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. Математические расчеты проводили с помощью программы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Повторность испытаний – 5-кратная. Результаты исследований сравнивали с установленными ГСТУ нормативами.</w:t>
      </w:r>
    </w:p>
    <w:p w:rsidR="009A0B20" w:rsidRDefault="009A0B20" w:rsidP="009A0B2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результате исследований установлено, что содержание гумуса в пахотном слое почвы существенно не отличается от показателей, детерминированных ГОСТ. Содержание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легкогидролизирующегося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азота в большинстве случаев выше - </w:t>
      </w:r>
      <w:r>
        <w:rPr>
          <w:rFonts w:ascii="Times New Roman" w:hAnsi="Times New Roman" w:cs="Times New Roman"/>
          <w:i/>
          <w:sz w:val="28"/>
          <w:szCs w:val="28"/>
        </w:rPr>
        <w:t>на 6 – 34 мг/кг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. Среди нежелательных экологических последствий такого явления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эвтрификация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сред обитания живого и нарушение экологического равновесия в целом. Содержание подвижного фосфора ниже показателей установленных ГОСТ – на </w:t>
      </w:r>
      <w:r>
        <w:rPr>
          <w:rFonts w:ascii="Times New Roman" w:hAnsi="Times New Roman" w:cs="Times New Roman"/>
          <w:i/>
          <w:sz w:val="28"/>
          <w:szCs w:val="28"/>
        </w:rPr>
        <w:t>10 – 49 мг/кг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. Содержание подвижного калия в большинстве случаев также ниже ГОСТ - </w:t>
      </w:r>
      <w:r>
        <w:rPr>
          <w:rFonts w:ascii="Times New Roman" w:hAnsi="Times New Roman" w:cs="Times New Roman"/>
          <w:i/>
          <w:sz w:val="28"/>
          <w:szCs w:val="28"/>
        </w:rPr>
        <w:t>на 7 – 42 мг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кг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. На основании этого хозяйству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рекомендовать применение фосфо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р-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калийсодержащих удобрений.</w:t>
      </w:r>
    </w:p>
    <w:p w:rsidR="009A0B20" w:rsidRDefault="009A0B20" w:rsidP="009A0B2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Ключевые слова: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агроэкологический мониторинг,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агрофитоценоз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гумус,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легкогидролизирующийся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азот, подвижный фосфор, подвижный калий.</w:t>
      </w:r>
    </w:p>
    <w:p w:rsidR="009A0B20" w:rsidRDefault="009A0B20" w:rsidP="009A0B20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9A0B20" w:rsidRDefault="009A0B20" w:rsidP="009A0B20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9A0B20" w:rsidRDefault="009A0B20" w:rsidP="009A0B2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I. P.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Sukhanova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A. V.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Balabak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9A0B20" w:rsidRDefault="009A0B20" w:rsidP="009A0B2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AGROECOLOGIC MONITORING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OF THE STATE OF SOILS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OF AGROPHYTOCENOSES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OF LTD. "А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GROVIT</w:t>
      </w:r>
      <w:r>
        <w:rPr>
          <w:rFonts w:ascii="Times New Roman" w:hAnsi="Times New Roman" w:cs="Times New Roman"/>
          <w:b/>
          <w:i/>
          <w:sz w:val="28"/>
          <w:szCs w:val="28"/>
        </w:rPr>
        <w:t>" IN М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ONASTERYTCH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DISTRICT OF THE TCHERKASY AREA</w:t>
      </w:r>
    </w:p>
    <w:p w:rsidR="009A0B20" w:rsidRDefault="009A0B20" w:rsidP="009A0B2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ntensive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systems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farming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lead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anthropogenic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degradation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pedosphere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Therefore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necessary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permanent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agro-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ecological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monitoring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whose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main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purpose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education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highly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efficient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environmentally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sustainable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agrophytocenoses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A0B20" w:rsidRDefault="009A0B20" w:rsidP="009A0B2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aim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work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‒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agroecological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assessment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soil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condition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agrophytocenoses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LLP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Agrovit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"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Monetaristskim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district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Cherkasy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region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According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purpose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determined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content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humus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topsoil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easy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hydralicious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nitrogen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rolling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Fiora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potassium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A0B20" w:rsidRDefault="009A0B20" w:rsidP="009A0B2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Research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conducted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2013 – 2014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respectively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procedures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set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out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benefits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from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agro-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chemical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analysis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determination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humus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content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method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Tyurin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nitrogen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Kornfeld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phosphorus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potassium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Machine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Mathematical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calculations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performed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using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Excel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program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Repeated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trials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5x.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research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results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compared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established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GATT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regulations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A0B20" w:rsidRDefault="009A0B20" w:rsidP="009A0B2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result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research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showed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humus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content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topsoil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not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materially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different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from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amounts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determined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GOST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content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legkogidrolizuemihkh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nitrogen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most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cases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higher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than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- 6 – 34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Among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undesirable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environmental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consequences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phenomenon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eutrification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habitats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life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ecological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balance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General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Labile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phosphorus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content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lower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than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specified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GOST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10 – 49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Content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mobile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potassium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most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cases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also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below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GOST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- 7 – 42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kg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basis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economy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possible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recommend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use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phosphorus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potassium-containing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fertilizers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A0B20" w:rsidRDefault="009A0B20" w:rsidP="009A0B20">
      <w:pPr>
        <w:pStyle w:val="a3"/>
        <w:spacing w:before="0" w:beforeAutospacing="0" w:after="0" w:afterAutospacing="0" w:line="360" w:lineRule="auto"/>
        <w:ind w:firstLine="567"/>
        <w:contextualSpacing/>
        <w:rPr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Key </w:t>
      </w:r>
      <w:r>
        <w:rPr>
          <w:b/>
          <w:bCs/>
          <w:i/>
          <w:iCs/>
          <w:color w:val="000000"/>
          <w:sz w:val="28"/>
          <w:szCs w:val="28"/>
          <w:lang w:val="en-US"/>
        </w:rPr>
        <w:t>words</w:t>
      </w:r>
      <w:r>
        <w:rPr>
          <w:b/>
          <w:i/>
          <w:sz w:val="28"/>
          <w:szCs w:val="28"/>
          <w:lang w:val="en-US"/>
        </w:rPr>
        <w:t>:</w:t>
      </w:r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agroecologic</w:t>
      </w:r>
      <w:proofErr w:type="spellEnd"/>
      <w:r>
        <w:rPr>
          <w:i/>
          <w:sz w:val="28"/>
          <w:szCs w:val="28"/>
          <w:lang w:val="en-US"/>
        </w:rPr>
        <w:t xml:space="preserve"> monitoring, nitrogen that hydrolyzes easily, movable phosphorus, movable potassium</w:t>
      </w:r>
    </w:p>
    <w:p w:rsidR="005826BA" w:rsidRPr="009A0B20" w:rsidRDefault="005826BA">
      <w:pPr>
        <w:rPr>
          <w:lang w:val="en-US"/>
        </w:rPr>
      </w:pPr>
    </w:p>
    <w:sectPr w:rsidR="005826BA" w:rsidRPr="009A0B20" w:rsidSect="0058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D00"/>
    <w:multiLevelType w:val="hybridMultilevel"/>
    <w:tmpl w:val="68BEA158"/>
    <w:lvl w:ilvl="0" w:tplc="99060B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D5E90"/>
    <w:multiLevelType w:val="hybridMultilevel"/>
    <w:tmpl w:val="15641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0404E"/>
    <w:multiLevelType w:val="hybridMultilevel"/>
    <w:tmpl w:val="605C2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4663C"/>
    <w:rsid w:val="001E0FC9"/>
    <w:rsid w:val="0044663C"/>
    <w:rsid w:val="004B6AED"/>
    <w:rsid w:val="005826BA"/>
    <w:rsid w:val="009A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2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A0B20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8;&#1088;&#1072;\&#1089;&#1090;&#1072;&#1090;&#1090;&#1110;\&#1059;&#1053;&#1059;&#1057;_&#1057;&#1091;&#1093;_&#1073;&#1072;&#1083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8;&#1088;&#1072;\&#1089;&#1090;&#1072;&#1090;&#1090;&#1110;\&#1059;&#1053;&#1059;&#1057;_&#1057;&#1091;&#1093;_&#1073;&#1072;&#1083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8;&#1088;&#1072;\&#1089;&#1090;&#1072;&#1090;&#1090;&#1110;\&#1059;&#1053;&#1059;&#1057;_&#1057;&#1091;&#1093;_&#1073;&#1072;&#1083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8;&#1088;&#1072;\&#1089;&#1090;&#1072;&#1090;&#1090;&#1110;\&#1059;&#1053;&#1059;&#1057;_&#1057;&#1091;&#1093;_&#1073;&#1072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7541393774376752E-2"/>
          <c:y val="4.2830936893757922E-2"/>
          <c:w val="0.8582670475451406"/>
          <c:h val="0.73965519555686565"/>
        </c:manualLayout>
      </c:layout>
      <c:barChart>
        <c:barDir val="col"/>
        <c:grouping val="clustered"/>
        <c:ser>
          <c:idx val="0"/>
          <c:order val="0"/>
          <c:tx>
            <c:strRef>
              <c:f>Лист1!$A$19</c:f>
              <c:strCache>
                <c:ptCount val="1"/>
                <c:pt idx="0">
                  <c:v>Вміст гумусу в орному шарі ґрунту, % </c:v>
                </c:pt>
              </c:strCache>
            </c:strRef>
          </c:tx>
          <c:val>
            <c:numRef>
              <c:f>Лист1!$B$19:$N$19</c:f>
              <c:numCache>
                <c:formatCode>General</c:formatCode>
                <c:ptCount val="13"/>
                <c:pt idx="0">
                  <c:v>2.8</c:v>
                </c:pt>
                <c:pt idx="1">
                  <c:v>3.8</c:v>
                </c:pt>
                <c:pt idx="2">
                  <c:v>3</c:v>
                </c:pt>
                <c:pt idx="3">
                  <c:v>3.1</c:v>
                </c:pt>
                <c:pt idx="4">
                  <c:v>3</c:v>
                </c:pt>
                <c:pt idx="5">
                  <c:v>3.1</c:v>
                </c:pt>
                <c:pt idx="6">
                  <c:v>3.1</c:v>
                </c:pt>
                <c:pt idx="7">
                  <c:v>3.2</c:v>
                </c:pt>
                <c:pt idx="8">
                  <c:v>2.9</c:v>
                </c:pt>
                <c:pt idx="9">
                  <c:v>3</c:v>
                </c:pt>
                <c:pt idx="10">
                  <c:v>3</c:v>
                </c:pt>
                <c:pt idx="11">
                  <c:v>3.3</c:v>
                </c:pt>
                <c:pt idx="12">
                  <c:v>3</c:v>
                </c:pt>
              </c:numCache>
            </c:numRef>
          </c:val>
        </c:ser>
        <c:axId val="89405696"/>
        <c:axId val="89407872"/>
      </c:barChart>
      <c:lineChart>
        <c:grouping val="stacked"/>
        <c:ser>
          <c:idx val="1"/>
          <c:order val="1"/>
          <c:tx>
            <c:strRef>
              <c:f>Лист1!$A$20</c:f>
              <c:strCache>
                <c:ptCount val="1"/>
                <c:pt idx="0">
                  <c:v>Встановлені ДСТУ показники</c:v>
                </c:pt>
              </c:strCache>
            </c:strRef>
          </c:tx>
          <c:marker>
            <c:symbol val="none"/>
          </c:marker>
          <c:val>
            <c:numRef>
              <c:f>Лист1!$B$20:$N$20</c:f>
              <c:numCache>
                <c:formatCode>General</c:formatCode>
                <c:ptCount val="13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</c:numCache>
            </c:numRef>
          </c:val>
        </c:ser>
        <c:marker val="1"/>
        <c:axId val="89405696"/>
        <c:axId val="89407872"/>
      </c:lineChart>
      <c:catAx>
        <c:axId val="894056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№ поля</a:t>
                </a:r>
              </a:p>
            </c:rich>
          </c:tx>
          <c:layout>
            <c:manualLayout>
              <c:xMode val="edge"/>
              <c:yMode val="edge"/>
              <c:x val="0.89085510000905055"/>
              <c:y val="0.89491166969513425"/>
            </c:manualLayout>
          </c:layout>
        </c:title>
        <c:tickLblPos val="nextTo"/>
        <c:crossAx val="89407872"/>
        <c:crosses val="autoZero"/>
        <c:auto val="1"/>
        <c:lblAlgn val="ctr"/>
        <c:lblOffset val="100"/>
      </c:catAx>
      <c:valAx>
        <c:axId val="89407872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7.9820071087226881E-3"/>
              <c:y val="2.3858553006961068E-2"/>
            </c:manualLayout>
          </c:layout>
        </c:title>
        <c:numFmt formatCode="General" sourceLinked="1"/>
        <c:tickLblPos val="nextTo"/>
        <c:crossAx val="894056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9680079365079512"/>
          <c:w val="0.9"/>
          <c:h val="9.9019738814341479E-2"/>
        </c:manualLayout>
      </c:layout>
      <c:overlay val="1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448840769903794"/>
          <c:y val="6.065981335666374E-2"/>
          <c:w val="0.83217825896762909"/>
          <c:h val="0.71952136191309424"/>
        </c:manualLayout>
      </c:layout>
      <c:bar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  <c:pt idx="0">
                  <c:v>Вміст рухомого фосфору</c:v>
                </c:pt>
              </c:strCache>
            </c:strRef>
          </c:tx>
          <c:val>
            <c:numRef>
              <c:f>Лист3!$B$2:$B$14</c:f>
              <c:numCache>
                <c:formatCode>General</c:formatCode>
                <c:ptCount val="13"/>
                <c:pt idx="0">
                  <c:v>39</c:v>
                </c:pt>
                <c:pt idx="1">
                  <c:v>33</c:v>
                </c:pt>
                <c:pt idx="2">
                  <c:v>60</c:v>
                </c:pt>
                <c:pt idx="3">
                  <c:v>70</c:v>
                </c:pt>
                <c:pt idx="4">
                  <c:v>51</c:v>
                </c:pt>
                <c:pt idx="5">
                  <c:v>53</c:v>
                </c:pt>
                <c:pt idx="6">
                  <c:v>31</c:v>
                </c:pt>
                <c:pt idx="7">
                  <c:v>34</c:v>
                </c:pt>
                <c:pt idx="8">
                  <c:v>36</c:v>
                </c:pt>
                <c:pt idx="9">
                  <c:v>40</c:v>
                </c:pt>
                <c:pt idx="10">
                  <c:v>40</c:v>
                </c:pt>
                <c:pt idx="11">
                  <c:v>50</c:v>
                </c:pt>
                <c:pt idx="12">
                  <c:v>40</c:v>
                </c:pt>
              </c:numCache>
            </c:numRef>
          </c:val>
        </c:ser>
        <c:axId val="89429120"/>
        <c:axId val="89431040"/>
      </c:barChart>
      <c:lineChart>
        <c:grouping val="standard"/>
        <c:ser>
          <c:idx val="1"/>
          <c:order val="1"/>
          <c:tx>
            <c:strRef>
              <c:f>Лист3!$C$1</c:f>
              <c:strCache>
                <c:ptCount val="1"/>
                <c:pt idx="0">
                  <c:v>Встановлені ДСТУ показники</c:v>
                </c:pt>
              </c:strCache>
            </c:strRef>
          </c:tx>
          <c:marker>
            <c:symbol val="none"/>
          </c:marker>
          <c:val>
            <c:numRef>
              <c:f>Лист3!$C$2:$C$14</c:f>
              <c:numCache>
                <c:formatCode>General</c:formatCode>
                <c:ptCount val="13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  <c:pt idx="7">
                  <c:v>80</c:v>
                </c:pt>
                <c:pt idx="8">
                  <c:v>80</c:v>
                </c:pt>
                <c:pt idx="9">
                  <c:v>80</c:v>
                </c:pt>
                <c:pt idx="10">
                  <c:v>80</c:v>
                </c:pt>
                <c:pt idx="11">
                  <c:v>80</c:v>
                </c:pt>
                <c:pt idx="12">
                  <c:v>80</c:v>
                </c:pt>
              </c:numCache>
            </c:numRef>
          </c:val>
        </c:ser>
        <c:marker val="1"/>
        <c:axId val="89429120"/>
        <c:axId val="89431040"/>
      </c:lineChart>
      <c:catAx>
        <c:axId val="894291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000" b="0" i="0" baseline="0">
                    <a:latin typeface="Times New Roman" pitchFamily="18" charset="0"/>
                    <a:cs typeface="Times New Roman" pitchFamily="18" charset="0"/>
                  </a:rPr>
                  <a:t>№ поля</a:t>
                </a:r>
              </a:p>
            </c:rich>
          </c:tx>
          <c:layout>
            <c:manualLayout>
              <c:xMode val="edge"/>
              <c:yMode val="edge"/>
              <c:x val="0.82282742782152263"/>
              <c:y val="0.8611111111111116"/>
            </c:manualLayout>
          </c:layout>
        </c:title>
        <c:tickLblPos val="nextTo"/>
        <c:crossAx val="89431040"/>
        <c:crosses val="autoZero"/>
        <c:auto val="1"/>
        <c:lblAlgn val="ctr"/>
        <c:lblOffset val="100"/>
      </c:catAx>
      <c:valAx>
        <c:axId val="89431040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мг/кг</a:t>
                </a:r>
              </a:p>
            </c:rich>
          </c:tx>
          <c:layout>
            <c:manualLayout>
              <c:xMode val="edge"/>
              <c:yMode val="edge"/>
              <c:x val="0"/>
              <c:y val="3.2688830562846292E-2"/>
            </c:manualLayout>
          </c:layout>
        </c:title>
        <c:numFmt formatCode="General" sourceLinked="1"/>
        <c:tickLblPos val="nextTo"/>
        <c:crossAx val="894291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9444410075539625E-2"/>
          <c:y val="0.88540237001216548"/>
          <c:w val="0.78796540854640662"/>
          <c:h val="0.11365522698734373"/>
        </c:manualLayout>
      </c:layout>
      <c:overlay val="1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511055278622449"/>
          <c:y val="5.1400554097404488E-2"/>
          <c:w val="0.80975535263641618"/>
          <c:h val="0.71173740309489475"/>
        </c:manualLayout>
      </c:layout>
      <c:barChart>
        <c:barDir val="col"/>
        <c:grouping val="clustered"/>
        <c:ser>
          <c:idx val="0"/>
          <c:order val="0"/>
          <c:tx>
            <c:strRef>
              <c:f>Лист2!$A$18</c:f>
              <c:strCache>
                <c:ptCount val="1"/>
                <c:pt idx="0">
                  <c:v>Вміст азоту, що легко гідролізується</c:v>
                </c:pt>
              </c:strCache>
            </c:strRef>
          </c:tx>
          <c:val>
            <c:numRef>
              <c:f>Лист2!$B$18:$N$18</c:f>
              <c:numCache>
                <c:formatCode>General</c:formatCode>
                <c:ptCount val="13"/>
                <c:pt idx="0">
                  <c:v>126</c:v>
                </c:pt>
                <c:pt idx="1">
                  <c:v>134</c:v>
                </c:pt>
                <c:pt idx="2">
                  <c:v>120</c:v>
                </c:pt>
                <c:pt idx="3">
                  <c:v>118</c:v>
                </c:pt>
                <c:pt idx="4">
                  <c:v>126</c:v>
                </c:pt>
                <c:pt idx="5">
                  <c:v>120</c:v>
                </c:pt>
                <c:pt idx="6">
                  <c:v>113</c:v>
                </c:pt>
                <c:pt idx="7">
                  <c:v>123</c:v>
                </c:pt>
                <c:pt idx="8">
                  <c:v>120</c:v>
                </c:pt>
                <c:pt idx="9">
                  <c:v>112</c:v>
                </c:pt>
                <c:pt idx="10">
                  <c:v>106</c:v>
                </c:pt>
                <c:pt idx="11">
                  <c:v>115</c:v>
                </c:pt>
                <c:pt idx="12">
                  <c:v>109</c:v>
                </c:pt>
              </c:numCache>
            </c:numRef>
          </c:val>
        </c:ser>
        <c:axId val="91783168"/>
        <c:axId val="91785088"/>
      </c:barChart>
      <c:lineChart>
        <c:grouping val="standard"/>
        <c:ser>
          <c:idx val="1"/>
          <c:order val="1"/>
          <c:tx>
            <c:strRef>
              <c:f>Лист2!$A$19</c:f>
              <c:strCache>
                <c:ptCount val="1"/>
                <c:pt idx="0">
                  <c:v>Встановлені ДСТУ показники</c:v>
                </c:pt>
              </c:strCache>
            </c:strRef>
          </c:tx>
          <c:marker>
            <c:symbol val="none"/>
          </c:marker>
          <c:val>
            <c:numRef>
              <c:f>Лист2!$B$19:$N$19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marker val="1"/>
        <c:axId val="91783168"/>
        <c:axId val="91785088"/>
      </c:lineChart>
      <c:catAx>
        <c:axId val="917831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000" b="0" i="0" baseline="0"/>
                  <a:t>№ поля</a:t>
                </a:r>
                <a:endParaRPr lang="ru-RU" sz="1000"/>
              </a:p>
            </c:rich>
          </c:tx>
          <c:layout>
            <c:manualLayout>
              <c:xMode val="edge"/>
              <c:yMode val="edge"/>
              <c:x val="0.87701618167293993"/>
              <c:y val="0.84881138067765349"/>
            </c:manualLayout>
          </c:layout>
        </c:title>
        <c:tickLblPos val="nextTo"/>
        <c:crossAx val="91785088"/>
        <c:crosses val="autoZero"/>
        <c:auto val="1"/>
        <c:lblAlgn val="ctr"/>
        <c:lblOffset val="100"/>
      </c:catAx>
      <c:valAx>
        <c:axId val="91785088"/>
        <c:scaling>
          <c:orientation val="minMax"/>
          <c:max val="140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мг/кг</a:t>
                </a:r>
              </a:p>
            </c:rich>
          </c:tx>
          <c:layout>
            <c:manualLayout>
              <c:xMode val="edge"/>
              <c:yMode val="edge"/>
              <c:x val="4.0051157988813084E-3"/>
              <c:y val="2.0944536538195873E-2"/>
            </c:manualLayout>
          </c:layout>
        </c:title>
        <c:numFmt formatCode="General" sourceLinked="1"/>
        <c:tickLblPos val="nextTo"/>
        <c:crossAx val="917831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6673339813270917E-2"/>
          <c:y val="0.8685821428571413"/>
          <c:w val="0.94251793868232159"/>
          <c:h val="0.10792169801943972"/>
        </c:manualLayout>
      </c:layout>
      <c:overlay val="1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746062992125985"/>
          <c:y val="3.7511665208515642E-2"/>
          <c:w val="0.83198381452318992"/>
          <c:h val="0.74776561605134884"/>
        </c:manualLayout>
      </c:layout>
      <c:barChart>
        <c:barDir val="col"/>
        <c:grouping val="clustered"/>
        <c:ser>
          <c:idx val="0"/>
          <c:order val="0"/>
          <c:tx>
            <c:strRef>
              <c:f>Лист4!$B$1</c:f>
              <c:strCache>
                <c:ptCount val="1"/>
                <c:pt idx="0">
                  <c:v>Вміст рухомого калію, мг/кг </c:v>
                </c:pt>
              </c:strCache>
            </c:strRef>
          </c:tx>
          <c:val>
            <c:numRef>
              <c:f>Лист4!$B$2:$B$14</c:f>
              <c:numCache>
                <c:formatCode>General</c:formatCode>
                <c:ptCount val="13"/>
                <c:pt idx="0">
                  <c:v>194</c:v>
                </c:pt>
                <c:pt idx="1">
                  <c:v>193</c:v>
                </c:pt>
                <c:pt idx="2">
                  <c:v>206</c:v>
                </c:pt>
                <c:pt idx="3">
                  <c:v>251</c:v>
                </c:pt>
                <c:pt idx="4">
                  <c:v>202</c:v>
                </c:pt>
                <c:pt idx="5">
                  <c:v>225</c:v>
                </c:pt>
                <c:pt idx="6">
                  <c:v>214</c:v>
                </c:pt>
                <c:pt idx="7">
                  <c:v>206</c:v>
                </c:pt>
                <c:pt idx="8">
                  <c:v>241</c:v>
                </c:pt>
                <c:pt idx="9">
                  <c:v>228</c:v>
                </c:pt>
                <c:pt idx="10">
                  <c:v>212</c:v>
                </c:pt>
                <c:pt idx="11">
                  <c:v>215</c:v>
                </c:pt>
                <c:pt idx="12">
                  <c:v>225</c:v>
                </c:pt>
              </c:numCache>
            </c:numRef>
          </c:val>
        </c:ser>
        <c:axId val="91798144"/>
        <c:axId val="91804416"/>
      </c:barChart>
      <c:lineChart>
        <c:grouping val="standard"/>
        <c:ser>
          <c:idx val="1"/>
          <c:order val="1"/>
          <c:tx>
            <c:strRef>
              <c:f>Лист4!$C$1</c:f>
              <c:strCache>
                <c:ptCount val="1"/>
                <c:pt idx="0">
                  <c:v>Встановлені ДСТУ показники</c:v>
                </c:pt>
              </c:strCache>
            </c:strRef>
          </c:tx>
          <c:marker>
            <c:symbol val="none"/>
          </c:marker>
          <c:val>
            <c:numRef>
              <c:f>Лист4!$C$2:$C$14</c:f>
              <c:numCache>
                <c:formatCode>General</c:formatCode>
                <c:ptCount val="13"/>
                <c:pt idx="0">
                  <c:v>235</c:v>
                </c:pt>
                <c:pt idx="1">
                  <c:v>235</c:v>
                </c:pt>
                <c:pt idx="2">
                  <c:v>235</c:v>
                </c:pt>
                <c:pt idx="3">
                  <c:v>235</c:v>
                </c:pt>
                <c:pt idx="4">
                  <c:v>235</c:v>
                </c:pt>
                <c:pt idx="5">
                  <c:v>235</c:v>
                </c:pt>
                <c:pt idx="6">
                  <c:v>235</c:v>
                </c:pt>
                <c:pt idx="7">
                  <c:v>235</c:v>
                </c:pt>
                <c:pt idx="8">
                  <c:v>235</c:v>
                </c:pt>
                <c:pt idx="9">
                  <c:v>235</c:v>
                </c:pt>
                <c:pt idx="10">
                  <c:v>235</c:v>
                </c:pt>
                <c:pt idx="11">
                  <c:v>235</c:v>
                </c:pt>
                <c:pt idx="12">
                  <c:v>235</c:v>
                </c:pt>
              </c:numCache>
            </c:numRef>
          </c:val>
        </c:ser>
        <c:marker val="1"/>
        <c:axId val="91798144"/>
        <c:axId val="91804416"/>
      </c:lineChart>
      <c:catAx>
        <c:axId val="917981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№ поля</a:t>
                </a:r>
              </a:p>
            </c:rich>
          </c:tx>
          <c:layout>
            <c:manualLayout>
              <c:xMode val="edge"/>
              <c:yMode val="edge"/>
              <c:x val="0.88403587051618848"/>
              <c:y val="0.90740740740740744"/>
            </c:manualLayout>
          </c:layout>
        </c:title>
        <c:tickLblPos val="nextTo"/>
        <c:crossAx val="91804416"/>
        <c:crosses val="autoZero"/>
        <c:auto val="1"/>
        <c:lblAlgn val="ctr"/>
        <c:lblOffset val="100"/>
      </c:catAx>
      <c:valAx>
        <c:axId val="91804416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мг/кг</a:t>
                </a:r>
              </a:p>
            </c:rich>
          </c:tx>
          <c:layout>
            <c:manualLayout>
              <c:xMode val="edge"/>
              <c:yMode val="edge"/>
              <c:x val="2.7777777777778065E-3"/>
              <c:y val="4.6577719451735222E-2"/>
            </c:manualLayout>
          </c:layout>
        </c:title>
        <c:numFmt formatCode="General" sourceLinked="1"/>
        <c:tickLblPos val="nextTo"/>
        <c:crossAx val="917981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9105826963429868"/>
          <c:w val="0.83611111111111114"/>
          <c:h val="0.1080976621116187"/>
        </c:manualLayout>
      </c:layout>
      <c:overlay val="1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1604</Words>
  <Characters>9146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Сергей</cp:lastModifiedBy>
  <cp:revision>3</cp:revision>
  <dcterms:created xsi:type="dcterms:W3CDTF">2016-05-16T08:58:00Z</dcterms:created>
  <dcterms:modified xsi:type="dcterms:W3CDTF">2016-05-19T17:59:00Z</dcterms:modified>
</cp:coreProperties>
</file>