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D4" w:rsidRPr="00A705D4" w:rsidRDefault="00A705D4" w:rsidP="00A705D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705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УДК 502.53:631.4</w:t>
      </w:r>
    </w:p>
    <w:p w:rsidR="00A705D4" w:rsidRPr="00A705D4" w:rsidRDefault="00A705D4" w:rsidP="00A705D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АГРОЕКОЛОГІЧНИЙ МОНІТОРИНГ СТАНУ ҐРУНТІВ ТОВ «АГРОВІТ» (С. ЛЕСЬКОВЕ МОНАСТ</w:t>
      </w:r>
      <w:r w:rsidRPr="00A705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</w:t>
      </w:r>
      <w:r w:rsidRPr="00A70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РИЩЕНСЬКОГО РАЙОНУ ЧЕРКАСЬКОЇ ОБЛ</w:t>
      </w:r>
      <w:r w:rsidRPr="00A705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АСТІ</w:t>
      </w:r>
      <w:r w:rsidRPr="00A70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705D4" w:rsidRPr="00A705D4" w:rsidRDefault="00A705D4" w:rsidP="00A705D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705D4" w:rsidRPr="00A705D4" w:rsidRDefault="00A705D4" w:rsidP="00A705D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70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І. П. СУХАНОВА</w:t>
      </w:r>
      <w:r w:rsidRPr="00A705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,</w:t>
      </w:r>
      <w:r w:rsidRPr="00A70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канд. біол. наук</w:t>
      </w:r>
      <w:r w:rsidRPr="00A705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,</w:t>
      </w:r>
    </w:p>
    <w:p w:rsidR="00A705D4" w:rsidRPr="00A705D4" w:rsidRDefault="00A705D4" w:rsidP="00A705D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5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А. В. БАЛАБАК, канд. с.-г. наук </w:t>
      </w:r>
    </w:p>
    <w:p w:rsidR="00A705D4" w:rsidRPr="00A705D4" w:rsidRDefault="00A705D4" w:rsidP="00A705D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Уманський національний університет садівництва</w:t>
      </w: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результаті агроекологічного моніторингу стану ґрунтів в агрофітоценозах </w:t>
      </w:r>
      <w:r w:rsidRPr="00A705D4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ТОВ «</w:t>
      </w:r>
      <w:proofErr w:type="spellStart"/>
      <w:r w:rsidRPr="00A705D4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Агровіт</w:t>
      </w:r>
      <w:proofErr w:type="spellEnd"/>
      <w:r w:rsidRPr="00A705D4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» в </w:t>
      </w:r>
      <w:proofErr w:type="spellStart"/>
      <w:r w:rsidRPr="00A705D4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Монастерищенському</w:t>
      </w:r>
      <w:proofErr w:type="spellEnd"/>
      <w:r w:rsidRPr="00A705D4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 районі Черкаської області</w:t>
      </w:r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встановлено, що вміст азоту в більшості випадків перевершує встановлені ДСТУ нормативи – на 6 – 34 мг/кг. Вміст гумусу – в межах ДСТУ. Калію та фосфору – нижче. </w:t>
      </w: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5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Ключові слова</w:t>
      </w:r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агроекологічний моніторинг, агрофітоценоз, гумус, азот, що легко гідролізується, рухомий фосфор, рухомий калій.</w:t>
      </w: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останні десятиліття майже всі землі сільськогосподарського використання в Україні зазнали відчутної деградації, зумовленої, насамперед, інтенсивною системою ведення сільського господарства </w:t>
      </w:r>
      <w:r w:rsidRPr="00A705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[1, 2]</w:t>
      </w:r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досить актуальною є проблема організації постійно діючого агроекологічного моніторингу, головною метою якого є формування екологічно-обґрунтованої методологічної бази для створення високоефективних, екологічно-збалансованих агроценозів </w:t>
      </w:r>
      <w:r w:rsidRPr="00A705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[3, 4]</w:t>
      </w:r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те, що будь-які природні екосистеми оточені земельними угіддями сільськогосподарського призначення, для збереження чи відновлення функціональності перших необхідною є</w:t>
      </w:r>
      <w:r w:rsidRPr="00A70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 оцінка факторів ймовірного на них впливу</w:t>
      </w:r>
      <w:r w:rsidRPr="00A705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 додатково підтверджує необхідність проведення агроекологічного моніторингу земель с-г використання. </w:t>
      </w: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 роботи – агроекологічна оцінка стану ґрунтів в агрофітоценозах </w:t>
      </w:r>
      <w:r w:rsidRPr="00A705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ТОВ «</w:t>
      </w:r>
      <w:proofErr w:type="spellStart"/>
      <w:r w:rsidRPr="00A705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Агровіт</w:t>
      </w:r>
      <w:proofErr w:type="spellEnd"/>
      <w:r w:rsidRPr="00A705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» в </w:t>
      </w:r>
      <w:proofErr w:type="spellStart"/>
      <w:r w:rsidRPr="00A705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Монастерищенському</w:t>
      </w:r>
      <w:proofErr w:type="spellEnd"/>
      <w:r w:rsidRPr="00A705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районі Черкаської області</w:t>
      </w:r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5D4" w:rsidRPr="00A705D4" w:rsidRDefault="00A705D4" w:rsidP="00A70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досягнення поставленої мети вирішували наступні завдання:</w:t>
      </w:r>
    </w:p>
    <w:p w:rsidR="00A705D4" w:rsidRPr="00A705D4" w:rsidRDefault="00A705D4" w:rsidP="00A705D4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5D4">
        <w:rPr>
          <w:rFonts w:ascii="Times New Roman" w:eastAsia="Calibri" w:hAnsi="Times New Roman" w:cs="Times New Roman"/>
          <w:sz w:val="28"/>
          <w:szCs w:val="28"/>
        </w:rPr>
        <w:t>Визначення вмісту гумусу в орному шарі ґрунту.</w:t>
      </w:r>
    </w:p>
    <w:p w:rsidR="00A705D4" w:rsidRPr="00A705D4" w:rsidRDefault="00A705D4" w:rsidP="00A705D4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05D4">
        <w:rPr>
          <w:rFonts w:ascii="Times New Roman" w:eastAsia="Calibri" w:hAnsi="Times New Roman" w:cs="Times New Roman"/>
          <w:sz w:val="28"/>
          <w:szCs w:val="28"/>
        </w:rPr>
        <w:t>Визначення вмісту азоту, що легко гідролізується.</w:t>
      </w:r>
    </w:p>
    <w:p w:rsidR="00A705D4" w:rsidRPr="00A705D4" w:rsidRDefault="00A705D4" w:rsidP="00A705D4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5D4">
        <w:rPr>
          <w:rFonts w:ascii="Times New Roman" w:eastAsia="Calibri" w:hAnsi="Times New Roman" w:cs="Times New Roman"/>
          <w:sz w:val="28"/>
          <w:szCs w:val="28"/>
        </w:rPr>
        <w:t>Визначення вмісту рухомого фосфору та рухомого калію.</w:t>
      </w: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досліджень. </w:t>
      </w:r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Агрохімічні параметри ґрунтів в агрофітоценозах ТОВ «</w:t>
      </w:r>
      <w:proofErr w:type="spellStart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Агровіт</w:t>
      </w:r>
      <w:proofErr w:type="spellEnd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(філіал с. </w:t>
      </w:r>
      <w:proofErr w:type="spellStart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Леськове</w:t>
      </w:r>
      <w:proofErr w:type="spellEnd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в </w:t>
      </w:r>
      <w:proofErr w:type="spellStart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Монастерищенському</w:t>
      </w:r>
      <w:proofErr w:type="spellEnd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р-ні</w:t>
      </w:r>
      <w:proofErr w:type="spellEnd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Черкаської обл.) визначали у 2013 та 2014 рр. відповідно методам, викладеним у посібниках з агрохімічного аналізу </w:t>
      </w:r>
      <w:r w:rsidRPr="00A705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[5,6]: </w:t>
      </w:r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вміст гумусу в орному шарі ґрунту − за методом </w:t>
      </w:r>
      <w:proofErr w:type="spellStart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Тюріна</w:t>
      </w:r>
      <w:proofErr w:type="spellEnd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вміст азоту, що легко гідролізується ‒ за методом </w:t>
      </w:r>
      <w:proofErr w:type="spellStart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Корнфільда</w:t>
      </w:r>
      <w:proofErr w:type="spellEnd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вміст рухомого фосфору та рухомого калію ‒ за методом </w:t>
      </w:r>
      <w:proofErr w:type="spellStart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Мачигіна</w:t>
      </w:r>
      <w:proofErr w:type="spellEnd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Повторність дослідів – 5-кратна. </w:t>
      </w: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05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Всі математичні розрахунки проводили за допомогою програм </w:t>
      </w:r>
      <w:r w:rsidRPr="00A705D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Excel</w:t>
      </w:r>
      <w:r w:rsidRPr="00A705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Отримані результати порівнювали зі встановленими ДСТУ нормативами показників родючості ґрунтів земельних ділянок сільськогосподарської </w:t>
      </w:r>
      <w:proofErr w:type="spellStart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призначеності</w:t>
      </w:r>
      <w:proofErr w:type="spellEnd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[7]. </w:t>
      </w: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Результати досліджень. </w:t>
      </w:r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результаті аналізу даних щодо ряду агрохімічних факторів родючості ґрунтів (Рис.) встановлено, що показники вмісту гумусу в орному шарі ґрунту в цілому суттєво не відрізняються від встановлених ДСТУ значень. А в полі № 2 навіть є вищим на 0,8 %. Але, беручи до уваги, що для типових чорноземів, які домінують в досліджуваних агрофітоценозах, вміст гумусу міг би складати 4,0 ‒ 4,4 % [1] можна додатково підтвердити одну з ознак деградації ґрунтів – їх </w:t>
      </w:r>
      <w:proofErr w:type="spellStart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дегуміфікацію</w:t>
      </w:r>
      <w:proofErr w:type="spellEnd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[2]. Подібного роду </w:t>
      </w:r>
      <w:proofErr w:type="spellStart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деградаційні</w:t>
      </w:r>
      <w:proofErr w:type="spellEnd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процеси антропогенного походження вказують на необхідність переходу до екологічно‒толерантних моделей землекористування, які, зокрема, включають внесення органічних добрив (гній ВРХ підстилковий, гній ВРХ напіврідкий, гній ВРХ рідкий, компост </w:t>
      </w:r>
      <w:proofErr w:type="spellStart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торфо-гноєвий</w:t>
      </w:r>
      <w:proofErr w:type="spellEnd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(1:1), сапропель, курячий послід підстилковий, </w:t>
      </w:r>
      <w:proofErr w:type="spellStart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біогумус</w:t>
      </w:r>
      <w:proofErr w:type="spellEnd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тощо) [4, 8].</w:t>
      </w: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Вміст азоту, що легко гідролізується, визначеного за методом </w:t>
      </w:r>
      <w:proofErr w:type="spellStart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Корнфільда</w:t>
      </w:r>
      <w:proofErr w:type="spellEnd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705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більшості випадків перевершує встановлені ДСТУ нормативи – на 6 – 34</w:t>
      </w:r>
      <w:r w:rsidRPr="00A705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мг/кг (див Рис.). Найменшу різницю з показником ДСТУ (6 мг/кг) виявлено в полі № 6. Це свідчить, що господарства в цілому зловживають </w:t>
      </w:r>
      <w:proofErr w:type="spellStart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азотмісткими</w:t>
      </w:r>
      <w:proofErr w:type="spellEnd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добривами, що може призвести до невтішних екологічних наслідків. Насамперед, </w:t>
      </w:r>
      <w:proofErr w:type="spellStart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евтрифікації</w:t>
      </w:r>
      <w:proofErr w:type="spellEnd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середовищ мешкання живого і порушення екологічної рівноваги у цілому.</w:t>
      </w:r>
    </w:p>
    <w:p w:rsidR="00A705D4" w:rsidRPr="00A705D4" w:rsidRDefault="00A705D4" w:rsidP="00A70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Вміст рухомого фосфору в усіх випадках нижчий встановлених ДСТУ показників – на 10 – 49 мг/кг (див. Рис.). Це дозволяє рекомендувати господарству внесення </w:t>
      </w:r>
      <w:proofErr w:type="spellStart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фосфорутримуючих</w:t>
      </w:r>
      <w:proofErr w:type="spellEnd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добрив. Оскільки потреба живих організмів в цьому біогенному елементі досить висока. Він входить до складу біологічних мембран, нуклеїнових кислот тощо. Найбільш вживаним в фермерських господарствах Уманського району (наприклад, ФГ «</w:t>
      </w:r>
      <w:proofErr w:type="spellStart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Хорста</w:t>
      </w:r>
      <w:proofErr w:type="spellEnd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») є суперфосфат. Цей препарат дозволений для використання в Україні відповідно до Переліку… [9]</w:t>
      </w:r>
      <w:r w:rsidRPr="00A705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705D4" w:rsidRPr="00A705D4" w:rsidRDefault="00A705D4" w:rsidP="00A70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Вміст рухомого калію (див. Рис.), переважно, нижчий встановлених ДСТУ нормативів (на 7 – 42 мг</w:t>
      </w:r>
      <w:r w:rsidRPr="00A705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кг). Лише у полях № № 4 та 9 перевершує їх (на 6 – 16</w:t>
      </w:r>
      <w:r w:rsidRPr="00A705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мг/кг). Можливо, в даних агрофітоценозах і не потрібні певні агрономічні заходи. Але щодо інших полів, то господарству можна рекомендувати внесення калійних добрив. Наприклад, сульфату калію, який входить до того ж Переліку [9]</w:t>
      </w:r>
      <w:r w:rsidRPr="00A705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D4" w:rsidRPr="00A705D4" w:rsidRDefault="00A705D4" w:rsidP="00A705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705D4" w:rsidRPr="00A705D4" w:rsidSect="00B407F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705D4" w:rsidRPr="00A705D4" w:rsidRDefault="00A705D4" w:rsidP="00A705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60288" behindDoc="0" locked="0" layoutInCell="1" allowOverlap="1" wp14:anchorId="6303377E" wp14:editId="0D74B857">
            <wp:simplePos x="0" y="0"/>
            <wp:positionH relativeFrom="column">
              <wp:posOffset>4756785</wp:posOffset>
            </wp:positionH>
            <wp:positionV relativeFrom="paragraph">
              <wp:posOffset>-62865</wp:posOffset>
            </wp:positionV>
            <wp:extent cx="4485640" cy="2520000"/>
            <wp:effectExtent l="19050" t="0" r="10160" b="0"/>
            <wp:wrapNone/>
            <wp:docPr id="1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Pr="00A705D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51D093BB" wp14:editId="49C05AA1">
            <wp:simplePos x="0" y="0"/>
            <wp:positionH relativeFrom="column">
              <wp:posOffset>27623</wp:posOffset>
            </wp:positionH>
            <wp:positionV relativeFrom="paragraph">
              <wp:posOffset>-62865</wp:posOffset>
            </wp:positionV>
            <wp:extent cx="4484370" cy="2520000"/>
            <wp:effectExtent l="19050" t="0" r="11430" b="0"/>
            <wp:wrapNone/>
            <wp:docPr id="2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 wp14:anchorId="7361A954" wp14:editId="04A9E95D">
            <wp:simplePos x="0" y="0"/>
            <wp:positionH relativeFrom="column">
              <wp:posOffset>4756785</wp:posOffset>
            </wp:positionH>
            <wp:positionV relativeFrom="paragraph">
              <wp:posOffset>26035</wp:posOffset>
            </wp:positionV>
            <wp:extent cx="4485005" cy="2528570"/>
            <wp:effectExtent l="19050" t="0" r="10795" b="5080"/>
            <wp:wrapNone/>
            <wp:docPr id="3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A705D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2336" behindDoc="0" locked="0" layoutInCell="1" allowOverlap="1" wp14:anchorId="056A5334" wp14:editId="5B06B121">
            <wp:simplePos x="0" y="0"/>
            <wp:positionH relativeFrom="column">
              <wp:posOffset>27305</wp:posOffset>
            </wp:positionH>
            <wp:positionV relativeFrom="paragraph">
              <wp:posOffset>26035</wp:posOffset>
            </wp:positionV>
            <wp:extent cx="4485005" cy="2528570"/>
            <wp:effectExtent l="19050" t="0" r="10795" b="5080"/>
            <wp:wrapNone/>
            <wp:docPr id="4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D4" w:rsidRPr="00A705D4" w:rsidRDefault="00A705D4" w:rsidP="00A705D4">
      <w:pPr>
        <w:spacing w:after="0" w:line="240" w:lineRule="auto"/>
        <w:ind w:right="141"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Рис. Основні агрохімічні фактори родючості ґрунтів в агрофітоценозах ТОВ «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Агровіт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705D4" w:rsidRPr="00A705D4" w:rsidSect="00C22A2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Висновки.</w:t>
      </w:r>
    </w:p>
    <w:p w:rsidR="00A705D4" w:rsidRPr="00A705D4" w:rsidRDefault="00A705D4" w:rsidP="00A705D4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5D4">
        <w:rPr>
          <w:rFonts w:ascii="Times New Roman" w:eastAsia="Calibri" w:hAnsi="Times New Roman" w:cs="Times New Roman"/>
          <w:sz w:val="28"/>
          <w:szCs w:val="28"/>
        </w:rPr>
        <w:t xml:space="preserve">Встановлено, що вміст гумусу в орному шарі ґрунту в досліджуваних агрофітоценозах суттєво не відрізняється від показників, встановлених ДСТУ. </w:t>
      </w:r>
    </w:p>
    <w:p w:rsidR="00A705D4" w:rsidRPr="00A705D4" w:rsidRDefault="00A705D4" w:rsidP="00A705D4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5D4">
        <w:rPr>
          <w:rFonts w:ascii="Times New Roman" w:eastAsia="Calibri" w:hAnsi="Times New Roman" w:cs="Times New Roman"/>
          <w:sz w:val="28"/>
          <w:szCs w:val="28"/>
        </w:rPr>
        <w:t xml:space="preserve">Вміст азоту, що легко гідролізується, в більшості випадків перевершує встановлені ДСТУ нормативи – на 6 – 34 мг/кг. Серед небажаних екологічних наслідків такого явища - </w:t>
      </w:r>
      <w:proofErr w:type="spellStart"/>
      <w:r w:rsidRPr="00A705D4">
        <w:rPr>
          <w:rFonts w:ascii="Times New Roman" w:eastAsia="Calibri" w:hAnsi="Times New Roman" w:cs="Times New Roman"/>
          <w:sz w:val="28"/>
          <w:szCs w:val="28"/>
        </w:rPr>
        <w:t>евтрифікація</w:t>
      </w:r>
      <w:proofErr w:type="spellEnd"/>
      <w:r w:rsidRPr="00A705D4">
        <w:rPr>
          <w:rFonts w:ascii="Times New Roman" w:eastAsia="Calibri" w:hAnsi="Times New Roman" w:cs="Times New Roman"/>
          <w:sz w:val="28"/>
          <w:szCs w:val="28"/>
        </w:rPr>
        <w:t xml:space="preserve"> середовищ мешкання живого і порушення екологічної рівноваги у цілому.</w:t>
      </w:r>
    </w:p>
    <w:p w:rsidR="00A705D4" w:rsidRPr="00A705D4" w:rsidRDefault="00A705D4" w:rsidP="00A705D4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5D4">
        <w:rPr>
          <w:rFonts w:ascii="Times New Roman" w:eastAsia="Calibri" w:hAnsi="Times New Roman" w:cs="Times New Roman"/>
          <w:sz w:val="28"/>
          <w:szCs w:val="28"/>
        </w:rPr>
        <w:t>Вміст рухомого фосфору в усіх випадках нижчий встановлених ДСТУ показників – на 10 – 49 мг/кг. Це дозволяє рекомендувати господарству застосування, наприклад, суперфосфату, який входить до Переліку пестицидів і агрохімікатів, дозволених до використання в Україні.</w:t>
      </w:r>
    </w:p>
    <w:p w:rsidR="00A705D4" w:rsidRPr="00A705D4" w:rsidRDefault="00A705D4" w:rsidP="00A705D4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5D4">
        <w:rPr>
          <w:rFonts w:ascii="Times New Roman" w:eastAsia="Calibri" w:hAnsi="Times New Roman" w:cs="Times New Roman"/>
          <w:sz w:val="28"/>
          <w:szCs w:val="28"/>
        </w:rPr>
        <w:t>Вміст рухомого калію, переважно, нижчий встановлених ДСТУ нормативів (на 7 – 42 мг</w:t>
      </w:r>
      <w:r w:rsidRPr="00A705D4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  <w:r w:rsidRPr="00A705D4">
        <w:rPr>
          <w:rFonts w:ascii="Times New Roman" w:eastAsia="Calibri" w:hAnsi="Times New Roman" w:cs="Times New Roman"/>
          <w:sz w:val="28"/>
          <w:szCs w:val="28"/>
        </w:rPr>
        <w:t>кг). Це дозволяє рекомендувати господарству застосування калійних добрив. Наприклад, сульфату калію, який також входить до згаданого переліку.</w:t>
      </w:r>
    </w:p>
    <w:p w:rsidR="00A705D4" w:rsidRPr="00A705D4" w:rsidRDefault="00A705D4" w:rsidP="00A705D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ВИКОРИСТАНИХ ДЖЕРЕЛ</w:t>
      </w:r>
    </w:p>
    <w:p w:rsidR="00A705D4" w:rsidRPr="00A705D4" w:rsidRDefault="00A705D4" w:rsidP="00A705D4">
      <w:pPr>
        <w:numPr>
          <w:ilvl w:val="0"/>
          <w:numId w:val="2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05D4">
        <w:rPr>
          <w:rFonts w:ascii="Times New Roman" w:eastAsia="Calibri" w:hAnsi="Times New Roman" w:cs="Times New Roman"/>
          <w:sz w:val="28"/>
          <w:szCs w:val="28"/>
        </w:rPr>
        <w:t>Носко</w:t>
      </w:r>
      <w:proofErr w:type="spellEnd"/>
      <w:r w:rsidRPr="00A705D4">
        <w:rPr>
          <w:rFonts w:ascii="Times New Roman" w:eastAsia="Calibri" w:hAnsi="Times New Roman" w:cs="Times New Roman"/>
          <w:sz w:val="28"/>
          <w:szCs w:val="28"/>
        </w:rPr>
        <w:t xml:space="preserve"> Б.С. Антропогенна еволюція чорноземів /  Б.С. </w:t>
      </w:r>
      <w:proofErr w:type="spellStart"/>
      <w:r w:rsidRPr="00A705D4">
        <w:rPr>
          <w:rFonts w:ascii="Times New Roman" w:eastAsia="Calibri" w:hAnsi="Times New Roman" w:cs="Times New Roman"/>
          <w:sz w:val="28"/>
          <w:szCs w:val="28"/>
        </w:rPr>
        <w:t>Носко</w:t>
      </w:r>
      <w:proofErr w:type="spellEnd"/>
      <w:r w:rsidRPr="00A705D4">
        <w:rPr>
          <w:rFonts w:ascii="Times New Roman" w:eastAsia="Calibri" w:hAnsi="Times New Roman" w:cs="Times New Roman"/>
          <w:sz w:val="28"/>
          <w:szCs w:val="28"/>
        </w:rPr>
        <w:t xml:space="preserve">. – Х.: Вид - </w:t>
      </w:r>
      <w:proofErr w:type="spellStart"/>
      <w:r w:rsidRPr="00A705D4">
        <w:rPr>
          <w:rFonts w:ascii="Times New Roman" w:eastAsia="Calibri" w:hAnsi="Times New Roman" w:cs="Times New Roman"/>
          <w:sz w:val="28"/>
          <w:szCs w:val="28"/>
        </w:rPr>
        <w:t>во</w:t>
      </w:r>
      <w:proofErr w:type="spellEnd"/>
      <w:r w:rsidRPr="00A705D4">
        <w:rPr>
          <w:rFonts w:ascii="Times New Roman" w:eastAsia="Calibri" w:hAnsi="Times New Roman" w:cs="Times New Roman"/>
          <w:sz w:val="28"/>
          <w:szCs w:val="28"/>
        </w:rPr>
        <w:t>. 13 типографія, 200</w:t>
      </w:r>
      <w:r w:rsidRPr="00A705D4">
        <w:rPr>
          <w:rFonts w:ascii="Times New Roman" w:eastAsia="Calibri" w:hAnsi="Times New Roman" w:cs="Times New Roman"/>
          <w:sz w:val="28"/>
          <w:szCs w:val="28"/>
          <w:lang w:val="ru-RU"/>
        </w:rPr>
        <w:t>11</w:t>
      </w:r>
      <w:r w:rsidRPr="00A705D4">
        <w:rPr>
          <w:rFonts w:ascii="Times New Roman" w:eastAsia="Calibri" w:hAnsi="Times New Roman" w:cs="Times New Roman"/>
          <w:sz w:val="28"/>
          <w:szCs w:val="28"/>
        </w:rPr>
        <w:t>. – 239 с.</w:t>
      </w:r>
    </w:p>
    <w:p w:rsidR="00A705D4" w:rsidRPr="00A705D4" w:rsidRDefault="00A705D4" w:rsidP="00A705D4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5D4">
        <w:rPr>
          <w:rFonts w:ascii="Times New Roman" w:eastAsia="Calibri" w:hAnsi="Times New Roman" w:cs="Times New Roman"/>
          <w:sz w:val="28"/>
          <w:szCs w:val="28"/>
        </w:rPr>
        <w:t xml:space="preserve">Стан родючості ґрунтів України та прогноз його змін за умов сучасного землеробства / За ред. В.В. Медведєва, М.В. </w:t>
      </w:r>
      <w:proofErr w:type="spellStart"/>
      <w:r w:rsidRPr="00A705D4">
        <w:rPr>
          <w:rFonts w:ascii="Times New Roman" w:eastAsia="Calibri" w:hAnsi="Times New Roman" w:cs="Times New Roman"/>
          <w:sz w:val="28"/>
          <w:szCs w:val="28"/>
        </w:rPr>
        <w:t>Лісового.–</w:t>
      </w:r>
      <w:proofErr w:type="spellEnd"/>
      <w:r w:rsidRPr="00A705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705D4">
        <w:rPr>
          <w:rFonts w:ascii="Times New Roman" w:eastAsia="Calibri" w:hAnsi="Times New Roman" w:cs="Times New Roman"/>
          <w:sz w:val="28"/>
          <w:szCs w:val="28"/>
        </w:rPr>
        <w:t xml:space="preserve">Х.: </w:t>
      </w:r>
      <w:proofErr w:type="spellStart"/>
      <w:r w:rsidRPr="00A705D4">
        <w:rPr>
          <w:rFonts w:ascii="Times New Roman" w:eastAsia="Calibri" w:hAnsi="Times New Roman" w:cs="Times New Roman"/>
          <w:sz w:val="28"/>
          <w:szCs w:val="28"/>
        </w:rPr>
        <w:t>Штріх</w:t>
      </w:r>
      <w:proofErr w:type="spellEnd"/>
      <w:r w:rsidRPr="00A705D4">
        <w:rPr>
          <w:rFonts w:ascii="Times New Roman" w:eastAsia="Calibri" w:hAnsi="Times New Roman" w:cs="Times New Roman"/>
          <w:sz w:val="28"/>
          <w:szCs w:val="28"/>
        </w:rPr>
        <w:t>, 2010. –100 с.</w:t>
      </w:r>
    </w:p>
    <w:p w:rsidR="00A705D4" w:rsidRPr="00A705D4" w:rsidRDefault="00A705D4" w:rsidP="00A705D4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Патика</w:t>
      </w:r>
      <w:proofErr w:type="spellEnd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Наукові основи моніторингу </w:t>
      </w:r>
      <w:proofErr w:type="spellStart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агроекосистем</w:t>
      </w:r>
      <w:proofErr w:type="spellEnd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/ В.П. </w:t>
      </w:r>
      <w:proofErr w:type="spellStart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Патика</w:t>
      </w:r>
      <w:proofErr w:type="spellEnd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Н.А. Макаренко // Екологія: проблеми адаптивно-ландшафтного землеробства: Житомир, 16–18 червня 2005 р. – Житомир: </w:t>
      </w:r>
      <w:proofErr w:type="spellStart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</w:t>
      </w:r>
      <w:proofErr w:type="spellEnd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агроекол</w:t>
      </w:r>
      <w:proofErr w:type="spellEnd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ун-т, 2005. – С.108 – 111. </w:t>
      </w:r>
    </w:p>
    <w:p w:rsidR="00A705D4" w:rsidRPr="00A705D4" w:rsidRDefault="00A705D4" w:rsidP="00A705D4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Агроекологія: теорія та практикум./ В.М. Писаренко та ін. – Полтава: </w:t>
      </w:r>
      <w:proofErr w:type="spellStart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Інтерграфіка</w:t>
      </w:r>
      <w:proofErr w:type="spellEnd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 – 318 с.</w:t>
      </w:r>
    </w:p>
    <w:p w:rsidR="00A705D4" w:rsidRPr="00A705D4" w:rsidRDefault="00A705D4" w:rsidP="00A705D4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Агрохімічний аналіз: </w:t>
      </w:r>
      <w:proofErr w:type="spellStart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посібник / [Городній М.М., </w:t>
      </w:r>
      <w:proofErr w:type="spellStart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Лісовал</w:t>
      </w:r>
      <w:proofErr w:type="spellEnd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А.П., </w:t>
      </w:r>
      <w:proofErr w:type="spellStart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Бикін</w:t>
      </w:r>
      <w:proofErr w:type="spellEnd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та ін.] – К.: </w:t>
      </w:r>
      <w:proofErr w:type="spellStart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Арістей</w:t>
      </w:r>
      <w:proofErr w:type="spellEnd"/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 – С. 468.</w:t>
      </w:r>
    </w:p>
    <w:p w:rsidR="00A705D4" w:rsidRPr="00A705D4" w:rsidRDefault="00A705D4" w:rsidP="00A705D4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05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Агрохімія</w:t>
      </w:r>
      <w:proofErr w:type="spellEnd"/>
      <w:r w:rsidRPr="00A705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A705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Навчальний</w:t>
      </w:r>
      <w:proofErr w:type="spellEnd"/>
      <w:r w:rsidRPr="00A705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705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</w:t>
      </w:r>
      <w:proofErr w:type="gramEnd"/>
      <w:r w:rsidRPr="00A705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ібник</w:t>
      </w:r>
      <w:proofErr w:type="spellEnd"/>
      <w:r w:rsidRPr="00A705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705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Pr="00A705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Геркіял</w:t>
      </w:r>
      <w:proofErr w:type="spellEnd"/>
      <w:r w:rsidRPr="00A705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О. М., </w:t>
      </w:r>
      <w:proofErr w:type="spellStart"/>
      <w:r w:rsidRPr="00A705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Господаренко</w:t>
      </w:r>
      <w:proofErr w:type="spellEnd"/>
      <w:r w:rsidRPr="00A705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Г.М., </w:t>
      </w:r>
      <w:proofErr w:type="spellStart"/>
      <w:r w:rsidRPr="00A705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Коларьков</w:t>
      </w:r>
      <w:proofErr w:type="spellEnd"/>
      <w:r w:rsidRPr="00A705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Ю. В.</w:t>
      </w:r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]. – Умань, 2008. – 300 с.</w:t>
      </w:r>
    </w:p>
    <w:p w:rsidR="00A705D4" w:rsidRPr="00A705D4" w:rsidRDefault="00A705D4" w:rsidP="00A705D4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 ґрунту. Показники родючості ґрунту: ДСТУ 4362:2004. - [Чинний від 2006 – 01 - 01]. – К.: Держспоживстандарт України, 2006. – 19 с.</w:t>
      </w:r>
    </w:p>
    <w:p w:rsidR="00A705D4" w:rsidRPr="00A705D4" w:rsidRDefault="00A705D4" w:rsidP="00A705D4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05D4">
        <w:rPr>
          <w:rFonts w:ascii="Times New Roman" w:eastAsia="Calibri" w:hAnsi="Times New Roman" w:cs="Times New Roman"/>
          <w:sz w:val="28"/>
          <w:szCs w:val="28"/>
        </w:rPr>
        <w:t>Сонь</w:t>
      </w:r>
      <w:proofErr w:type="spellEnd"/>
      <w:r w:rsidRPr="00A705D4">
        <w:rPr>
          <w:rFonts w:ascii="Times New Roman" w:eastAsia="Calibri" w:hAnsi="Times New Roman" w:cs="Times New Roman"/>
          <w:sz w:val="28"/>
          <w:szCs w:val="28"/>
        </w:rPr>
        <w:t xml:space="preserve">ко С. П. Особливості </w:t>
      </w:r>
      <w:proofErr w:type="spellStart"/>
      <w:r w:rsidRPr="00A705D4">
        <w:rPr>
          <w:rFonts w:ascii="Times New Roman" w:eastAsia="Calibri" w:hAnsi="Times New Roman" w:cs="Times New Roman"/>
          <w:sz w:val="28"/>
          <w:szCs w:val="28"/>
        </w:rPr>
        <w:t>вермикультури</w:t>
      </w:r>
      <w:proofErr w:type="spellEnd"/>
      <w:r w:rsidRPr="00A705D4">
        <w:rPr>
          <w:rFonts w:ascii="Times New Roman" w:eastAsia="Calibri" w:hAnsi="Times New Roman" w:cs="Times New Roman"/>
          <w:sz w:val="28"/>
          <w:szCs w:val="28"/>
        </w:rPr>
        <w:t xml:space="preserve"> в умовах Правобережного лісостепу / </w:t>
      </w:r>
      <w:proofErr w:type="spellStart"/>
      <w:r w:rsidRPr="00A705D4">
        <w:rPr>
          <w:rFonts w:ascii="Times New Roman" w:eastAsia="Calibri" w:hAnsi="Times New Roman" w:cs="Times New Roman"/>
          <w:sz w:val="28"/>
          <w:szCs w:val="28"/>
        </w:rPr>
        <w:t>С. П. Сон</w:t>
      </w:r>
      <w:proofErr w:type="spellEnd"/>
      <w:r w:rsidRPr="00A705D4">
        <w:rPr>
          <w:rFonts w:ascii="Times New Roman" w:eastAsia="Calibri" w:hAnsi="Times New Roman" w:cs="Times New Roman"/>
          <w:sz w:val="28"/>
          <w:szCs w:val="28"/>
        </w:rPr>
        <w:t xml:space="preserve">ько, </w:t>
      </w:r>
      <w:proofErr w:type="spellStart"/>
      <w:r w:rsidRPr="00A705D4">
        <w:rPr>
          <w:rFonts w:ascii="Times New Roman" w:eastAsia="Calibri" w:hAnsi="Times New Roman" w:cs="Times New Roman"/>
          <w:sz w:val="28"/>
          <w:szCs w:val="28"/>
        </w:rPr>
        <w:t>І. П. Сухан</w:t>
      </w:r>
      <w:proofErr w:type="spellEnd"/>
      <w:r w:rsidRPr="00A705D4">
        <w:rPr>
          <w:rFonts w:ascii="Times New Roman" w:eastAsia="Calibri" w:hAnsi="Times New Roman" w:cs="Times New Roman"/>
          <w:sz w:val="28"/>
          <w:szCs w:val="28"/>
        </w:rPr>
        <w:t xml:space="preserve">ова, </w:t>
      </w:r>
      <w:proofErr w:type="spellStart"/>
      <w:r w:rsidRPr="00A705D4">
        <w:rPr>
          <w:rFonts w:ascii="Times New Roman" w:eastAsia="Calibri" w:hAnsi="Times New Roman" w:cs="Times New Roman"/>
          <w:sz w:val="28"/>
          <w:szCs w:val="28"/>
        </w:rPr>
        <w:t>О. В. Василе</w:t>
      </w:r>
      <w:proofErr w:type="spellEnd"/>
      <w:r w:rsidRPr="00A705D4">
        <w:rPr>
          <w:rFonts w:ascii="Times New Roman" w:eastAsia="Calibri" w:hAnsi="Times New Roman" w:cs="Times New Roman"/>
          <w:sz w:val="28"/>
          <w:szCs w:val="28"/>
        </w:rPr>
        <w:t xml:space="preserve">нко // Зб. Наук. Праць Уманського національного університету садівництва. </w:t>
      </w:r>
      <w:proofErr w:type="spellStart"/>
      <w:r w:rsidRPr="00A705D4">
        <w:rPr>
          <w:rFonts w:ascii="Times New Roman" w:eastAsia="Calibri" w:hAnsi="Times New Roman" w:cs="Times New Roman"/>
          <w:sz w:val="28"/>
          <w:szCs w:val="28"/>
        </w:rPr>
        <w:t>Част</w:t>
      </w:r>
      <w:proofErr w:type="spellEnd"/>
      <w:r w:rsidRPr="00A705D4">
        <w:rPr>
          <w:rFonts w:ascii="Times New Roman" w:eastAsia="Calibri" w:hAnsi="Times New Roman" w:cs="Times New Roman"/>
          <w:sz w:val="28"/>
          <w:szCs w:val="28"/>
        </w:rPr>
        <w:t>. І Агрономія. Вип. 73. – Умань, 2010. –  С. 216 – 223.</w:t>
      </w:r>
    </w:p>
    <w:p w:rsidR="00A705D4" w:rsidRPr="00A705D4" w:rsidRDefault="00A705D4" w:rsidP="00A705D4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5D4">
        <w:rPr>
          <w:rFonts w:ascii="Times New Roman" w:eastAsia="Calibri" w:hAnsi="Times New Roman" w:cs="Times New Roman"/>
          <w:sz w:val="28"/>
          <w:szCs w:val="28"/>
        </w:rPr>
        <w:t>Перелік пестицидів і агрохімікатів дозволених до використання в Україні / [</w:t>
      </w:r>
      <w:proofErr w:type="spellStart"/>
      <w:r w:rsidRPr="00A705D4">
        <w:rPr>
          <w:rFonts w:ascii="Times New Roman" w:eastAsia="Calibri" w:hAnsi="Times New Roman" w:cs="Times New Roman"/>
          <w:sz w:val="28"/>
          <w:szCs w:val="28"/>
        </w:rPr>
        <w:t>Ящук</w:t>
      </w:r>
      <w:proofErr w:type="spellEnd"/>
      <w:r w:rsidRPr="00A705D4">
        <w:rPr>
          <w:rFonts w:ascii="Times New Roman" w:eastAsia="Calibri" w:hAnsi="Times New Roman" w:cs="Times New Roman"/>
          <w:sz w:val="28"/>
          <w:szCs w:val="28"/>
        </w:rPr>
        <w:t xml:space="preserve"> В. У., Іванов Д. В., </w:t>
      </w:r>
      <w:proofErr w:type="spellStart"/>
      <w:r w:rsidRPr="00A705D4">
        <w:rPr>
          <w:rFonts w:ascii="Times New Roman" w:eastAsia="Calibri" w:hAnsi="Times New Roman" w:cs="Times New Roman"/>
          <w:sz w:val="28"/>
          <w:szCs w:val="28"/>
        </w:rPr>
        <w:t>Капліна</w:t>
      </w:r>
      <w:proofErr w:type="spellEnd"/>
      <w:r w:rsidRPr="00A705D4">
        <w:rPr>
          <w:rFonts w:ascii="Times New Roman" w:eastAsia="Calibri" w:hAnsi="Times New Roman" w:cs="Times New Roman"/>
          <w:sz w:val="28"/>
          <w:szCs w:val="28"/>
        </w:rPr>
        <w:t xml:space="preserve"> О. Л. та ін.]. – Київ.: ТОВ «</w:t>
      </w:r>
      <w:proofErr w:type="spellStart"/>
      <w:r w:rsidRPr="00A705D4">
        <w:rPr>
          <w:rFonts w:ascii="Times New Roman" w:eastAsia="Calibri" w:hAnsi="Times New Roman" w:cs="Times New Roman"/>
          <w:sz w:val="28"/>
          <w:szCs w:val="28"/>
        </w:rPr>
        <w:t>Юнівест</w:t>
      </w:r>
      <w:proofErr w:type="spellEnd"/>
      <w:r w:rsidRPr="00A705D4">
        <w:rPr>
          <w:rFonts w:ascii="Times New Roman" w:eastAsia="Calibri" w:hAnsi="Times New Roman" w:cs="Times New Roman"/>
          <w:sz w:val="28"/>
          <w:szCs w:val="28"/>
        </w:rPr>
        <w:t xml:space="preserve"> Медіа», 2010. – 544 с.</w:t>
      </w:r>
    </w:p>
    <w:p w:rsidR="00A705D4" w:rsidRPr="00A705D4" w:rsidRDefault="00A705D4" w:rsidP="00A705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D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705D4" w:rsidRPr="00A705D4" w:rsidRDefault="00A705D4" w:rsidP="00A705D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05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И. П. </w:t>
      </w:r>
      <w:proofErr w:type="spellStart"/>
      <w:r w:rsidRPr="00A705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Суханова</w:t>
      </w:r>
      <w:proofErr w:type="spellEnd"/>
      <w:r w:rsidRPr="00A705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А. В. </w:t>
      </w:r>
      <w:proofErr w:type="spellStart"/>
      <w:r w:rsidRPr="00A705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Балабак</w:t>
      </w:r>
      <w:proofErr w:type="spellEnd"/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A705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АГРО</w:t>
      </w:r>
      <w:r w:rsidRPr="00A705D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Э</w:t>
      </w:r>
      <w:r w:rsidRPr="00A705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КОЛОГИЧЕСКИЙ МОН</w:t>
      </w:r>
      <w:r w:rsidRPr="00A705D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И</w:t>
      </w:r>
      <w:r w:rsidRPr="00A705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ТОРИНГ СОСТОЯНИЯ</w:t>
      </w:r>
      <w:r w:rsidRPr="00A705D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ПОЧВ ТОО «АГРОВИТ» (С. </w:t>
      </w:r>
      <w:proofErr w:type="gramStart"/>
      <w:r w:rsidRPr="00A705D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ЛЕСЬКОВОЕ МОНАСТЕРИЩЕНСКОГО РАЙОНА ЧЕРКАССКОЙ ОБЛАСТИ)</w:t>
      </w:r>
      <w:proofErr w:type="gramEnd"/>
    </w:p>
    <w:p w:rsidR="00A705D4" w:rsidRPr="00A705D4" w:rsidRDefault="00A705D4" w:rsidP="00A70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Интенсивные системы ведения сельского хозяйства приводят к антропогенной деградации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педосферы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. Поэтому необходимым является постоянно действующий агроэкологический мониторинг, основной целью которого является образование </w:t>
      </w:r>
      <w:proofErr w:type="gram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высокоэффективных</w:t>
      </w:r>
      <w:proofErr w:type="gramEnd"/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, экологически сбалансированных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агрофитоценозов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. </w:t>
      </w:r>
    </w:p>
    <w:p w:rsidR="00A705D4" w:rsidRPr="00A705D4" w:rsidRDefault="00A705D4" w:rsidP="00A70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Цель настоящей работы – агроэкологическая оценка состояния почв в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агрофитоценозах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ТОО «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Агровит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» в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Монастерищенском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районе Черкасской области.</w:t>
      </w: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Согласно цели определяли содержание гумуса в пахотном слое почвы, легко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гидролизирующего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азота, подвижного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фофора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и калия. </w:t>
      </w: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Исследования проводили в 2013 – 2014 </w:t>
      </w:r>
      <w:proofErr w:type="spellStart"/>
      <w:proofErr w:type="gram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гг</w:t>
      </w:r>
      <w:proofErr w:type="spellEnd"/>
      <w:proofErr w:type="gramEnd"/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соответственно методикам, изложенным в пособиях с агрохимического анализа: определение содержание гумуса – методом Тюрина, азота –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Корнфильда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, фосфора, калия -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Мачигина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. Математические расчеты проводили с помощью программы </w:t>
      </w:r>
      <w:r w:rsidRPr="00A705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Excel</w:t>
      </w:r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Повторность испытаний – 5-кратная. Результаты исследований сравнивали с установленными ГСТУ нормативами.</w:t>
      </w: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В результате исследований установлено, что содержание гумуса в пахотном слое почвы существенно не отличается от показателей, детерминированных ГОСТ. Содержание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легкогидролизирующегося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азота в большинстве случаев выше - </w:t>
      </w:r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6 – 34 мг/кг</w:t>
      </w:r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. Среди нежелательных экологических последствий такого явления –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эвтрификация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сред обитания живого и нарушение экологического равновесия в целом. Содержание подвижного фосфора ниже показателей установленных ГОСТ – на </w:t>
      </w:r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 – 49 мг/кг</w:t>
      </w:r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. Содержание подвижного калия в большинстве случаев также ниже ГОСТ - </w:t>
      </w:r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7 – 42 мг</w:t>
      </w:r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/</w:t>
      </w:r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кг</w:t>
      </w:r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. На основании этого хозяйству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можна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рекомендовать применение фосфо</w:t>
      </w:r>
      <w:proofErr w:type="gram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р-</w:t>
      </w:r>
      <w:proofErr w:type="gramEnd"/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и калийсодержащих удобрений.</w:t>
      </w: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A705D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Ключевые слова:</w:t>
      </w:r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агроэкологический мониторинг,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агрофитоценоз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, гумус,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легкогидролизирующийся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азот, подвижный фосфор, подвижный калий.</w:t>
      </w:r>
    </w:p>
    <w:p w:rsidR="00A705D4" w:rsidRPr="00A705D4" w:rsidRDefault="00A705D4" w:rsidP="00A705D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05D4" w:rsidRPr="00A705D4" w:rsidRDefault="00A705D4" w:rsidP="00A705D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D4" w:rsidRPr="00A705D4" w:rsidRDefault="00A705D4" w:rsidP="00A705D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05D4" w:rsidRPr="00A705D4" w:rsidRDefault="00A705D4" w:rsidP="00A70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A705D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I. P. </w:t>
      </w:r>
      <w:proofErr w:type="spellStart"/>
      <w:r w:rsidRPr="00A705D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Sukhanova</w:t>
      </w:r>
      <w:proofErr w:type="spellEnd"/>
      <w:r w:rsidRPr="00A705D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, A. V. </w:t>
      </w:r>
      <w:proofErr w:type="spellStart"/>
      <w:r w:rsidRPr="00A705D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Balabak</w:t>
      </w:r>
      <w:proofErr w:type="spellEnd"/>
      <w:r w:rsidRPr="00A705D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.</w:t>
      </w:r>
    </w:p>
    <w:p w:rsidR="00A705D4" w:rsidRPr="00A705D4" w:rsidRDefault="00A705D4" w:rsidP="00A70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A705D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AGROECOLOGIC MONITORING </w:t>
      </w:r>
      <w:r w:rsidRPr="00A705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OF THE STATE OF SOILS </w:t>
      </w:r>
      <w:r w:rsidRPr="00A705D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OF AGROPHYTOCENOSES</w:t>
      </w:r>
      <w:r w:rsidRPr="00A705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OF LTD. "А</w:t>
      </w:r>
      <w:r w:rsidRPr="00A705D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GROVIT</w:t>
      </w:r>
      <w:r w:rsidRPr="00A705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 IN М</w:t>
      </w:r>
      <w:r w:rsidRPr="00A705D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ONASTERYTCH</w:t>
      </w:r>
      <w:r w:rsidRPr="00A705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DISTRICT OF THE TCHERKASY AREA</w:t>
      </w: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705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ntensive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systems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of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farming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lead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to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anthropogenic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degradation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of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pedosphere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Therefore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it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is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necessary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a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permanent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agro-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ecological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monitoring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whose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main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purpose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is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the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education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of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highly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efficient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environmentally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sustainable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agrophytocenoses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The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aim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of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this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work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‒</w:t>
      </w:r>
      <w:r w:rsidRPr="00A705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agroecological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assessment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of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soil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condition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in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the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agrophytocenoses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LLP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Agrovit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in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Monetaristskim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district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of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Cherkasy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region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705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According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to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the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purpose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of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determined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the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content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of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humus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in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the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topsoil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easy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hydralicious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nitrogen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rolling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Fiora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and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potassium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Research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conducted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in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2013 – 2014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respectively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to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the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procedures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set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out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in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the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benefits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from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agro-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chemical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analysis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determination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of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the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humus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content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by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the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method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of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Tyurin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nitrogen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Kornfeld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phosphorus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potassium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Machine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Mathematical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calculations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were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performed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using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the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Excel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program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Repeated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trials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5x.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The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research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results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were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compared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with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established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GATT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regulations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As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a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result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of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the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research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showed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that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the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humus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content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in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the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topsoil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is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not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materially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different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from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the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amounts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determined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GOST.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The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content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legkogidrolizuemihkh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nitrogen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in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most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cases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higher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than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- 6 – 34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mg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kg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Among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the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undesirable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environmental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consequences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of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this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phenomenon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eutrification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habitats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life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and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the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ecological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balance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in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General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Labile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phosphorus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content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lower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than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specified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by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GOST – 10 – 49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mg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kg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Content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of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mobile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potassium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in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most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cases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also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below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GOST - 7 – 42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mg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kg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On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the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basis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of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this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economy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is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possible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to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recommend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the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use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of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phosphorus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and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potassium-containing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fertilizers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705D4" w:rsidRPr="00A705D4" w:rsidRDefault="00A705D4" w:rsidP="00A705D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705D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Key </w:t>
      </w:r>
      <w:r w:rsidRPr="00A70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words</w:t>
      </w:r>
      <w:r w:rsidRPr="00A705D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:</w:t>
      </w:r>
      <w:r w:rsidRPr="00A705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A705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agroecologic</w:t>
      </w:r>
      <w:proofErr w:type="spellEnd"/>
      <w:r w:rsidRPr="00A705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monitoring, nitrogen that hydrolyzes easily, movable phosphorus, movable potassium</w:t>
      </w:r>
    </w:p>
    <w:p w:rsidR="00A705D4" w:rsidRPr="00A705D4" w:rsidRDefault="00A705D4" w:rsidP="00A705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14ABA" w:rsidRPr="00A705D4" w:rsidRDefault="00514ABA">
      <w:pPr>
        <w:rPr>
          <w:lang w:val="en-US"/>
        </w:rPr>
      </w:pPr>
      <w:bookmarkStart w:id="0" w:name="_GoBack"/>
      <w:bookmarkEnd w:id="0"/>
    </w:p>
    <w:sectPr w:rsidR="00514ABA" w:rsidRPr="00A705D4" w:rsidSect="00B407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D00"/>
    <w:multiLevelType w:val="hybridMultilevel"/>
    <w:tmpl w:val="68BEA158"/>
    <w:lvl w:ilvl="0" w:tplc="99060B3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D5E90"/>
    <w:multiLevelType w:val="hybridMultilevel"/>
    <w:tmpl w:val="DAC67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0404E"/>
    <w:multiLevelType w:val="hybridMultilevel"/>
    <w:tmpl w:val="605C2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42"/>
    <w:rsid w:val="003E4442"/>
    <w:rsid w:val="00514ABA"/>
    <w:rsid w:val="00A7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8;&#1088;&#1072;\&#1089;&#1090;&#1072;&#1090;&#1090;&#1110;\&#1059;&#1053;&#1059;&#1057;_&#1057;&#1091;&#1093;_&#1073;&#1072;&#1083;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8;&#1088;&#1072;\&#1089;&#1090;&#1072;&#1090;&#1090;&#1110;\&#1059;&#1053;&#1059;&#1057;_&#1057;&#1091;&#1093;_&#1073;&#1072;&#1083;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8;&#1088;&#1072;\&#1089;&#1090;&#1072;&#1090;&#1090;&#1110;\&#1059;&#1053;&#1059;&#1057;_&#1057;&#1091;&#1093;_&#1073;&#1072;&#1083;.xls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8;&#1088;&#1072;\&#1089;&#1090;&#1072;&#1090;&#1090;&#1110;\&#1059;&#1053;&#1059;&#1057;_&#1057;&#1091;&#1093;_&#1073;&#1072;&#1083;.xls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11055278622449"/>
          <c:y val="5.1400554097404488E-2"/>
          <c:w val="0.8097553526364144"/>
          <c:h val="0.711737403094892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Лист2!$A$18</c:f>
              <c:strCache>
                <c:ptCount val="1"/>
                <c:pt idx="0">
                  <c:v>Вміст азоту, що легко гідролізується</c:v>
                </c:pt>
              </c:strCache>
            </c:strRef>
          </c:tx>
          <c:invertIfNegative val="0"/>
          <c:val>
            <c:numRef>
              <c:f>Лист2!$B$18:$N$18</c:f>
              <c:numCache>
                <c:formatCode>General</c:formatCode>
                <c:ptCount val="13"/>
                <c:pt idx="0">
                  <c:v>126</c:v>
                </c:pt>
                <c:pt idx="1">
                  <c:v>134</c:v>
                </c:pt>
                <c:pt idx="2">
                  <c:v>120</c:v>
                </c:pt>
                <c:pt idx="3">
                  <c:v>118</c:v>
                </c:pt>
                <c:pt idx="4">
                  <c:v>126</c:v>
                </c:pt>
                <c:pt idx="5">
                  <c:v>120</c:v>
                </c:pt>
                <c:pt idx="6">
                  <c:v>113</c:v>
                </c:pt>
                <c:pt idx="7">
                  <c:v>123</c:v>
                </c:pt>
                <c:pt idx="8">
                  <c:v>120</c:v>
                </c:pt>
                <c:pt idx="9">
                  <c:v>112</c:v>
                </c:pt>
                <c:pt idx="10">
                  <c:v>106</c:v>
                </c:pt>
                <c:pt idx="11">
                  <c:v>115</c:v>
                </c:pt>
                <c:pt idx="12">
                  <c:v>109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355584"/>
        <c:axId val="108357504"/>
      </c:barChart>
      <c:lineChart>
        <c:grouping val="standard"/>
        <c:varyColors val="0"/>
        <c:ser>
          <c:idx val="1"/>
          <c:order val="1"/>
          <c:tx>
            <c:strRef>
              <c:f>Лист2!$A$19</c:f>
              <c:strCache>
                <c:ptCount val="1"/>
                <c:pt idx="0">
                  <c:v>Встановлені ДСТУ показники</c:v>
                </c:pt>
              </c:strCache>
            </c:strRef>
          </c:tx>
          <c:marker>
            <c:symbol val="none"/>
          </c:marker>
          <c:val>
            <c:numRef>
              <c:f>Лист2!$B$19:$N$19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355584"/>
        <c:axId val="108357504"/>
      </c:lineChart>
      <c:catAx>
        <c:axId val="1083555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000" b="0" i="0" baseline="0"/>
                  <a:t>№ поля</a:t>
                </a:r>
                <a:endParaRPr lang="ru-RU" sz="1000"/>
              </a:p>
            </c:rich>
          </c:tx>
          <c:layout>
            <c:manualLayout>
              <c:xMode val="edge"/>
              <c:yMode val="edge"/>
              <c:x val="0.87701618167294171"/>
              <c:y val="0.84881138067765349"/>
            </c:manualLayout>
          </c:layout>
          <c:overlay val="0"/>
        </c:title>
        <c:majorTickMark val="out"/>
        <c:minorTickMark val="none"/>
        <c:tickLblPos val="nextTo"/>
        <c:crossAx val="108357504"/>
        <c:crosses val="autoZero"/>
        <c:auto val="1"/>
        <c:lblAlgn val="ctr"/>
        <c:lblOffset val="100"/>
        <c:noMultiLvlLbl val="0"/>
      </c:catAx>
      <c:valAx>
        <c:axId val="108357504"/>
        <c:scaling>
          <c:orientation val="minMax"/>
          <c:max val="14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мг/кг</a:t>
                </a:r>
              </a:p>
            </c:rich>
          </c:tx>
          <c:layout>
            <c:manualLayout>
              <c:xMode val="edge"/>
              <c:yMode val="edge"/>
              <c:x val="4.0051157988813084E-3"/>
              <c:y val="2.094453653819587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083555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6673339813270802E-2"/>
          <c:y val="0.86858214285714275"/>
          <c:w val="0.94251793868232159"/>
          <c:h val="0.10792169801943972"/>
        </c:manualLayout>
      </c:layout>
      <c:overlay val="1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7541393774376516E-2"/>
          <c:y val="4.2830936893757922E-2"/>
          <c:w val="0.8582670475451406"/>
          <c:h val="0.739655195556865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Лист1!$A$19</c:f>
              <c:strCache>
                <c:ptCount val="1"/>
                <c:pt idx="0">
                  <c:v>Вміст гумусу в орному шарі ґрунту, % </c:v>
                </c:pt>
              </c:strCache>
            </c:strRef>
          </c:tx>
          <c:invertIfNegative val="0"/>
          <c:val>
            <c:numRef>
              <c:f>Лист1!$B$19:$N$19</c:f>
              <c:numCache>
                <c:formatCode>General</c:formatCode>
                <c:ptCount val="13"/>
                <c:pt idx="0">
                  <c:v>2.8</c:v>
                </c:pt>
                <c:pt idx="1">
                  <c:v>3.8</c:v>
                </c:pt>
                <c:pt idx="2">
                  <c:v>3</c:v>
                </c:pt>
                <c:pt idx="3">
                  <c:v>3.1</c:v>
                </c:pt>
                <c:pt idx="4">
                  <c:v>3</c:v>
                </c:pt>
                <c:pt idx="5">
                  <c:v>3.1</c:v>
                </c:pt>
                <c:pt idx="6">
                  <c:v>3.1</c:v>
                </c:pt>
                <c:pt idx="7">
                  <c:v>3.2</c:v>
                </c:pt>
                <c:pt idx="8">
                  <c:v>2.9</c:v>
                </c:pt>
                <c:pt idx="9">
                  <c:v>3</c:v>
                </c:pt>
                <c:pt idx="10">
                  <c:v>3</c:v>
                </c:pt>
                <c:pt idx="11">
                  <c:v>3.3</c:v>
                </c:pt>
                <c:pt idx="1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395520"/>
        <c:axId val="108602496"/>
      </c:barChart>
      <c:lineChart>
        <c:grouping val="stacked"/>
        <c:varyColors val="0"/>
        <c:ser>
          <c:idx val="1"/>
          <c:order val="1"/>
          <c:tx>
            <c:strRef>
              <c:f>Лист1!$A$20</c:f>
              <c:strCache>
                <c:ptCount val="1"/>
                <c:pt idx="0">
                  <c:v>Встановлені ДСТУ показники</c:v>
                </c:pt>
              </c:strCache>
            </c:strRef>
          </c:tx>
          <c:marker>
            <c:symbol val="none"/>
          </c:marker>
          <c:val>
            <c:numRef>
              <c:f>Лист1!$B$20:$N$20</c:f>
              <c:numCache>
                <c:formatCode>General</c:formatCode>
                <c:ptCount val="13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395520"/>
        <c:axId val="108602496"/>
      </c:lineChart>
      <c:catAx>
        <c:axId val="1083955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№ поля</a:t>
                </a:r>
              </a:p>
            </c:rich>
          </c:tx>
          <c:layout>
            <c:manualLayout>
              <c:xMode val="edge"/>
              <c:yMode val="edge"/>
              <c:x val="0.89085510000905055"/>
              <c:y val="0.89491166969513425"/>
            </c:manualLayout>
          </c:layout>
          <c:overlay val="0"/>
        </c:title>
        <c:majorTickMark val="out"/>
        <c:minorTickMark val="none"/>
        <c:tickLblPos val="nextTo"/>
        <c:crossAx val="108602496"/>
        <c:crosses val="autoZero"/>
        <c:auto val="1"/>
        <c:lblAlgn val="ctr"/>
        <c:lblOffset val="100"/>
        <c:noMultiLvlLbl val="0"/>
      </c:catAx>
      <c:valAx>
        <c:axId val="108602496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%</a:t>
                </a:r>
              </a:p>
            </c:rich>
          </c:tx>
          <c:layout>
            <c:manualLayout>
              <c:xMode val="edge"/>
              <c:yMode val="edge"/>
              <c:x val="7.9820071087226604E-3"/>
              <c:y val="2.3858553006961068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083955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9680079365079379"/>
          <c:w val="0.9"/>
          <c:h val="9.9019738814341493E-2"/>
        </c:manualLayout>
      </c:layout>
      <c:overlay val="1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746062992125985"/>
          <c:y val="3.7511665208515642E-2"/>
          <c:w val="0.83198381452318715"/>
          <c:h val="0.747765616051346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Лист4!$B$1</c:f>
              <c:strCache>
                <c:ptCount val="1"/>
                <c:pt idx="0">
                  <c:v>Вміст рухомого калію, мг/кг </c:v>
                </c:pt>
              </c:strCache>
            </c:strRef>
          </c:tx>
          <c:invertIfNegative val="0"/>
          <c:val>
            <c:numRef>
              <c:f>Лист4!$B$2:$B$14</c:f>
              <c:numCache>
                <c:formatCode>General</c:formatCode>
                <c:ptCount val="13"/>
                <c:pt idx="0">
                  <c:v>194</c:v>
                </c:pt>
                <c:pt idx="1">
                  <c:v>193</c:v>
                </c:pt>
                <c:pt idx="2">
                  <c:v>206</c:v>
                </c:pt>
                <c:pt idx="3">
                  <c:v>251</c:v>
                </c:pt>
                <c:pt idx="4">
                  <c:v>202</c:v>
                </c:pt>
                <c:pt idx="5">
                  <c:v>225</c:v>
                </c:pt>
                <c:pt idx="6">
                  <c:v>214</c:v>
                </c:pt>
                <c:pt idx="7">
                  <c:v>206</c:v>
                </c:pt>
                <c:pt idx="8">
                  <c:v>241</c:v>
                </c:pt>
                <c:pt idx="9">
                  <c:v>228</c:v>
                </c:pt>
                <c:pt idx="10">
                  <c:v>212</c:v>
                </c:pt>
                <c:pt idx="11">
                  <c:v>215</c:v>
                </c:pt>
                <c:pt idx="12">
                  <c:v>225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640512"/>
        <c:axId val="108642688"/>
      </c:barChart>
      <c:lineChart>
        <c:grouping val="standard"/>
        <c:varyColors val="0"/>
        <c:ser>
          <c:idx val="1"/>
          <c:order val="1"/>
          <c:tx>
            <c:strRef>
              <c:f>Лист4!$C$1</c:f>
              <c:strCache>
                <c:ptCount val="1"/>
                <c:pt idx="0">
                  <c:v>Встановлені ДСТУ показники</c:v>
                </c:pt>
              </c:strCache>
            </c:strRef>
          </c:tx>
          <c:marker>
            <c:symbol val="none"/>
          </c:marker>
          <c:val>
            <c:numRef>
              <c:f>Лист4!$C$2:$C$14</c:f>
              <c:numCache>
                <c:formatCode>General</c:formatCode>
                <c:ptCount val="13"/>
                <c:pt idx="0">
                  <c:v>235</c:v>
                </c:pt>
                <c:pt idx="1">
                  <c:v>235</c:v>
                </c:pt>
                <c:pt idx="2">
                  <c:v>235</c:v>
                </c:pt>
                <c:pt idx="3">
                  <c:v>235</c:v>
                </c:pt>
                <c:pt idx="4">
                  <c:v>235</c:v>
                </c:pt>
                <c:pt idx="5">
                  <c:v>235</c:v>
                </c:pt>
                <c:pt idx="6">
                  <c:v>235</c:v>
                </c:pt>
                <c:pt idx="7">
                  <c:v>235</c:v>
                </c:pt>
                <c:pt idx="8">
                  <c:v>235</c:v>
                </c:pt>
                <c:pt idx="9">
                  <c:v>235</c:v>
                </c:pt>
                <c:pt idx="10">
                  <c:v>235</c:v>
                </c:pt>
                <c:pt idx="11">
                  <c:v>235</c:v>
                </c:pt>
                <c:pt idx="12">
                  <c:v>235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640512"/>
        <c:axId val="108642688"/>
      </c:lineChart>
      <c:catAx>
        <c:axId val="1086405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№ поля</a:t>
                </a:r>
              </a:p>
            </c:rich>
          </c:tx>
          <c:layout>
            <c:manualLayout>
              <c:xMode val="edge"/>
              <c:yMode val="edge"/>
              <c:x val="0.88403587051618693"/>
              <c:y val="0.90740740740740744"/>
            </c:manualLayout>
          </c:layout>
          <c:overlay val="0"/>
        </c:title>
        <c:majorTickMark val="out"/>
        <c:minorTickMark val="none"/>
        <c:tickLblPos val="nextTo"/>
        <c:crossAx val="108642688"/>
        <c:crosses val="autoZero"/>
        <c:auto val="1"/>
        <c:lblAlgn val="ctr"/>
        <c:lblOffset val="100"/>
        <c:noMultiLvlLbl val="0"/>
      </c:catAx>
      <c:valAx>
        <c:axId val="10864268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мг/кг</a:t>
                </a:r>
              </a:p>
            </c:rich>
          </c:tx>
          <c:layout>
            <c:manualLayout>
              <c:xMode val="edge"/>
              <c:yMode val="edge"/>
              <c:x val="2.7777777777777913E-3"/>
              <c:y val="4.6577719451735222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086405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9105826963429868"/>
          <c:w val="0.83611111111111114"/>
          <c:h val="0.10809766211161854"/>
        </c:manualLayout>
      </c:layout>
      <c:overlay val="1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448840769903792"/>
          <c:y val="6.065981335666374E-2"/>
          <c:w val="0.83217825896762909"/>
          <c:h val="0.719521361913094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Вміст рухомого фосфору</c:v>
                </c:pt>
              </c:strCache>
            </c:strRef>
          </c:tx>
          <c:invertIfNegative val="0"/>
          <c:val>
            <c:numRef>
              <c:f>Лист3!$B$2:$B$14</c:f>
              <c:numCache>
                <c:formatCode>General</c:formatCode>
                <c:ptCount val="13"/>
                <c:pt idx="0">
                  <c:v>39</c:v>
                </c:pt>
                <c:pt idx="1">
                  <c:v>33</c:v>
                </c:pt>
                <c:pt idx="2">
                  <c:v>60</c:v>
                </c:pt>
                <c:pt idx="3">
                  <c:v>70</c:v>
                </c:pt>
                <c:pt idx="4">
                  <c:v>51</c:v>
                </c:pt>
                <c:pt idx="5">
                  <c:v>53</c:v>
                </c:pt>
                <c:pt idx="6">
                  <c:v>31</c:v>
                </c:pt>
                <c:pt idx="7">
                  <c:v>34</c:v>
                </c:pt>
                <c:pt idx="8">
                  <c:v>36</c:v>
                </c:pt>
                <c:pt idx="9">
                  <c:v>40</c:v>
                </c:pt>
                <c:pt idx="10">
                  <c:v>40</c:v>
                </c:pt>
                <c:pt idx="11">
                  <c:v>50</c:v>
                </c:pt>
                <c:pt idx="12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656128"/>
        <c:axId val="108658048"/>
      </c:barChart>
      <c:lineChart>
        <c:grouping val="standard"/>
        <c:varyColors val="0"/>
        <c:ser>
          <c:idx val="1"/>
          <c:order val="1"/>
          <c:tx>
            <c:strRef>
              <c:f>Лист3!$C$1</c:f>
              <c:strCache>
                <c:ptCount val="1"/>
                <c:pt idx="0">
                  <c:v>Встановлені ДСТУ показники</c:v>
                </c:pt>
              </c:strCache>
            </c:strRef>
          </c:tx>
          <c:marker>
            <c:symbol val="none"/>
          </c:marker>
          <c:val>
            <c:numRef>
              <c:f>Лист3!$C$2:$C$14</c:f>
              <c:numCache>
                <c:formatCode>General</c:formatCode>
                <c:ptCount val="13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  <c:pt idx="4">
                  <c:v>80</c:v>
                </c:pt>
                <c:pt idx="5">
                  <c:v>80</c:v>
                </c:pt>
                <c:pt idx="6">
                  <c:v>80</c:v>
                </c:pt>
                <c:pt idx="7">
                  <c:v>80</c:v>
                </c:pt>
                <c:pt idx="8">
                  <c:v>80</c:v>
                </c:pt>
                <c:pt idx="9">
                  <c:v>80</c:v>
                </c:pt>
                <c:pt idx="10">
                  <c:v>80</c:v>
                </c:pt>
                <c:pt idx="11">
                  <c:v>80</c:v>
                </c:pt>
                <c:pt idx="12">
                  <c:v>80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656128"/>
        <c:axId val="108658048"/>
      </c:lineChart>
      <c:catAx>
        <c:axId val="1086561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000" b="0" i="0" baseline="0">
                    <a:latin typeface="Times New Roman" pitchFamily="18" charset="0"/>
                    <a:cs typeface="Times New Roman" pitchFamily="18" charset="0"/>
                  </a:rPr>
                  <a:t>№ поля</a:t>
                </a:r>
              </a:p>
            </c:rich>
          </c:tx>
          <c:layout>
            <c:manualLayout>
              <c:xMode val="edge"/>
              <c:yMode val="edge"/>
              <c:x val="0.82282742782152263"/>
              <c:y val="0.8611111111111116"/>
            </c:manualLayout>
          </c:layout>
          <c:overlay val="0"/>
        </c:title>
        <c:majorTickMark val="out"/>
        <c:minorTickMark val="none"/>
        <c:tickLblPos val="nextTo"/>
        <c:crossAx val="108658048"/>
        <c:crosses val="autoZero"/>
        <c:auto val="1"/>
        <c:lblAlgn val="ctr"/>
        <c:lblOffset val="100"/>
        <c:noMultiLvlLbl val="0"/>
      </c:catAx>
      <c:valAx>
        <c:axId val="10865804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мг/кг</a:t>
                </a:r>
              </a:p>
            </c:rich>
          </c:tx>
          <c:layout>
            <c:manualLayout>
              <c:xMode val="edge"/>
              <c:yMode val="edge"/>
              <c:x val="0"/>
              <c:y val="3.2688830562846292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086561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9444410075539625E-2"/>
          <c:y val="0.88540237001216737"/>
          <c:w val="0.78796540854640662"/>
          <c:h val="0.11365522698734373"/>
        </c:manualLayout>
      </c:layout>
      <c:overlay val="1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6855</Words>
  <Characters>3908</Characters>
  <Application>Microsoft Office Word</Application>
  <DocSecurity>0</DocSecurity>
  <Lines>32</Lines>
  <Paragraphs>21</Paragraphs>
  <ScaleCrop>false</ScaleCrop>
  <Company>diakov.net</Company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2016-04-25T07:25:00Z</dcterms:created>
  <dcterms:modified xsi:type="dcterms:W3CDTF">2016-04-25T07:25:00Z</dcterms:modified>
</cp:coreProperties>
</file>