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5E" w:rsidRPr="003F5A5E" w:rsidRDefault="003F5A5E" w:rsidP="003F5A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УДК 581.165:582.039.1</w:t>
      </w:r>
    </w:p>
    <w:p w:rsidR="003F5A5E" w:rsidRPr="003F5A5E" w:rsidRDefault="003F5A5E" w:rsidP="003F5A5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F5A5E" w:rsidRPr="003F5A5E" w:rsidRDefault="003F5A5E" w:rsidP="003F5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Балабак А. В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кандидат с.-г. наук</w:t>
      </w:r>
    </w:p>
    <w:p w:rsidR="003F5A5E" w:rsidRPr="003F5A5E" w:rsidRDefault="003F5A5E" w:rsidP="003F5A5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Уманський національний університет садівництва</w:t>
      </w:r>
    </w:p>
    <w:p w:rsidR="003F5A5E" w:rsidRPr="003F5A5E" w:rsidRDefault="003F5A5E" w:rsidP="003F5A5E">
      <w:pPr>
        <w:spacing w:after="0" w:line="36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5E" w:rsidRPr="003F5A5E" w:rsidRDefault="003F5A5E" w:rsidP="003F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Еколого-Біологічні особливості ВИРОЩУВАННЯ лимонника китайського (</w:t>
      </w:r>
      <w:proofErr w:type="spellStart"/>
      <w:r w:rsidRPr="003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Schizandra</w:t>
      </w:r>
      <w:proofErr w:type="spellEnd"/>
      <w:r w:rsidRPr="003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chinensis</w:t>
      </w:r>
      <w:proofErr w:type="spellEnd"/>
      <w:r w:rsidRPr="003F5A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3F5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Turcz</w:t>
      </w:r>
      <w:proofErr w:type="spellEnd"/>
      <w:r w:rsidRPr="003F5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.) </w:t>
      </w:r>
      <w:proofErr w:type="spellStart"/>
      <w:r w:rsidRPr="003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Baill</w:t>
      </w:r>
      <w:proofErr w:type="spellEnd"/>
      <w:r w:rsidRPr="003F5A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 умовах Правобережного Лісостепу України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F5A5E" w:rsidRPr="003F5A5E" w:rsidRDefault="003F5A5E" w:rsidP="003F5A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Досліджено фенологічні особливості росту і розвитку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китайського (</w:t>
      </w:r>
      <w:proofErr w:type="spellStart"/>
      <w:r w:rsidRPr="003F5A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Schizandra</w:t>
      </w:r>
      <w:proofErr w:type="spellEnd"/>
      <w:r w:rsidRPr="003F5A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chinensis</w:t>
      </w:r>
      <w:proofErr w:type="spellEnd"/>
      <w:r w:rsidRPr="003F5A5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3F5A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Turcz</w:t>
      </w:r>
      <w:proofErr w:type="spellEnd"/>
      <w:r w:rsidRPr="003F5A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.)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Baill</w:t>
      </w:r>
      <w:proofErr w:type="spellEnd"/>
      <w:r w:rsidRPr="003F5A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розглянуто строки проходження фенологічних фаз сезонного циклу росту і розвитку маточних рослин. Визначено оптимальний період для розмноження досліджуваних сортів та форм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китайського зеленими стебловими живцями, який співпадає з періодом найбільш інтенсивного росту пагонів (червень — середина липня). 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Встановлено, що інтенсивність процесів росту пагонів залежить переважно від температури повітря і кількості опадів.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Показано, 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кліматичні умови лісостепової зони України забезпечують проходження повного циклу сезонного розвитку досліджуваним сортам і формам 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китайського. Плоди повністю дозрівають, дають схоже насіння, що свідчить про можливу інтродукцію їх у регіон досліджень.</w:t>
      </w: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Ключові слова: 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лимонник китайський, сорти, фенологічні фази розвитку рослин, маточні рослини, стеблові живці</w:t>
      </w:r>
    </w:p>
    <w:p w:rsidR="003F5A5E" w:rsidRPr="003F5A5E" w:rsidRDefault="003F5A5E" w:rsidP="003F5A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5E" w:rsidRPr="003F5A5E" w:rsidRDefault="003F5A5E" w:rsidP="003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проблеми</w:t>
      </w:r>
      <w:r w:rsidRPr="003F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Лимонник китайський </w:t>
      </w:r>
      <w:proofErr w:type="spellStart"/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Schi</w:t>
      </w:r>
      <w:proofErr w:type="spellEnd"/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s</w:t>
      </w:r>
      <w:proofErr w:type="spellStart"/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andra</w:t>
      </w:r>
      <w:proofErr w:type="spellEnd"/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chinensis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proofErr w:type="spellStart"/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Turcz</w:t>
      </w:r>
      <w:proofErr w:type="spellEnd"/>
      <w:r w:rsidRPr="003F5A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.)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Baill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— один з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небагаточисельних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представників так званих реліктових рослин, широко розповсюджених у часи третинного періоду в помірних широтах північної півкулі й вимерлих у результаті різкого похолодання [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]. </w:t>
      </w:r>
    </w:p>
    <w:p w:rsidR="003F5A5E" w:rsidRPr="003F5A5E" w:rsidRDefault="003F5A5E" w:rsidP="003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Важливим показником успішної інтродукції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китайського є їх здатність до адаптації в нових умовах зростання, яка проявляється у проходженні сезонного циклу розвитку і визначається ступенем відповідності ритму розвитку рослин кліматичним умовам району інтродукції.</w:t>
      </w:r>
    </w:p>
    <w:p w:rsidR="003F5A5E" w:rsidRPr="003F5A5E" w:rsidRDefault="003F5A5E" w:rsidP="003F5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Обмежувальними факторами розповсюдження сортів та форм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китайського є тривалість вегетаційного періоду, сума ефективних температур у період вегетації, а також низькі температурні умови у весняний, осінній і зимовий періоди, що призводить до підмерзання кореневої системи і надземної частини [2]. Тому дослідження фенологічних фаз росту і розвитку є одним з головних умов вивчення ступеня пристосування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інтродуцентів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вивчення строків їх проходження у період вегетації дає змогу встановити витривалість 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сортів до основних факторів зовнішнього середовища на різних етапах розвитку.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Аналіз</w:t>
      </w:r>
      <w:proofErr w:type="spellEnd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останніх</w:t>
      </w:r>
      <w:proofErr w:type="spellEnd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досл</w:t>
      </w:r>
      <w:proofErr w:type="gramEnd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іджень</w:t>
      </w:r>
      <w:proofErr w:type="spellEnd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публікацій</w:t>
      </w:r>
      <w:proofErr w:type="spellEnd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3F5A5E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Досліджено хімічний склад і фармакологічну дію </w:t>
      </w:r>
      <w:proofErr w:type="spellStart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усіх частинах рослини міститься діюча речовина — </w:t>
      </w:r>
      <w:proofErr w:type="spellStart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схізандрин</w:t>
      </w:r>
      <w:proofErr w:type="spellEnd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накопичується в найбільшій кількості під час бутонізації і цвітіння в корі, кореневищах і листках. Він має помірну збуджувальну дію на нервову систему. Препарати на основі </w:t>
      </w:r>
      <w:proofErr w:type="spellStart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необхідні людині в тих випадках, коли потрібно сконцентрувати всі сили організму на виконання невідкладної роботи з найбільшим ефектом [4, 6]. </w:t>
      </w:r>
    </w:p>
    <w:p w:rsidR="003F5A5E" w:rsidRPr="003F5A5E" w:rsidRDefault="003F5A5E" w:rsidP="003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Лимонник китайський успішно використовується і в харчовій промисловості. Ягоди використовують для отримання соку, виготовлення сиропів, морсів. Лимонний аромат, смак і гарний колір — характерні для всіх продуктів переробки </w:t>
      </w:r>
      <w:proofErr w:type="spellStart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[1]. 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Основними причинами, що стримують впровадження в садові фітоценози сортів та форм даної культури, є недостатність вивченості її </w:t>
      </w:r>
      <w:proofErr w:type="spellStart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еколого-біологічних</w:t>
      </w:r>
      <w:proofErr w:type="spellEnd"/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особливостей, зимостійкості, а також недостатня кількість садивного матеріалу.</w:t>
      </w:r>
    </w:p>
    <w:p w:rsidR="003F5A5E" w:rsidRPr="003F5A5E" w:rsidRDefault="003F5A5E" w:rsidP="003F5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Вирішення даних завдань можливе лише при цілеспрямованій інтродукції нових і перспективних сортів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китайського, що дасть змогу визначення їх екологічної пластичності, ареалу розповсюдження, ступеня екологічної спеціалізації.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Сорти-інтродуценти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перебуваючи за межами свого екологічного оптимуму, можуть гостро реагувати на коливання факторів зовнішнього середовища. Тому саме у цьому напрямку необхідно вести роботу щодо вивчення характеру і амплітуди варіювання ознак і властивостей маточних рослин сортів та форм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китайського в нових умовах зростання [7].</w:t>
      </w:r>
    </w:p>
    <w:p w:rsidR="003F5A5E" w:rsidRPr="003F5A5E" w:rsidRDefault="003F5A5E" w:rsidP="003F5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Незважаючи на значну кількість спостережень з вивчення біологічних особливостей рослин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китайського, дослідження щодо визначення фенологічних фаз росту і розвитку сортів та форм маточних рослин цієї культури вивчені недостатньо. Зазначені вище питання і визначили напрям 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наших досліджень.</w:t>
      </w:r>
    </w:p>
    <w:p w:rsidR="003F5A5E" w:rsidRPr="003F5A5E" w:rsidRDefault="003F5A5E" w:rsidP="003F5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досліджень 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полягала у вивченні фенологічних фаз росту і розвитку маточних рослин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китайського та пристосування їх до кліматичних умов вирощування з метою заготівлі з них стеблових живців для визначення регенераційної здатності.</w:t>
      </w:r>
    </w:p>
    <w:p w:rsidR="003F5A5E" w:rsidRPr="003F5A5E" w:rsidRDefault="003F5A5E" w:rsidP="003F5A5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 і методика досліджень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Вивчали сорти та форми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китайського — Садовий 1, Дачний 7, форма 1 та форма 3 [3]. Дослідження проводили в розсадниках Уманського національного університету садівництва, Національного дендропарку "Софіївка" НАН України. Фенологічні спостереження за досліджуваними</w:t>
      </w:r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сортами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формами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китайського</w:t>
      </w:r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проводили за методикою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Всеросійського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науково-дослідного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інституту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селекції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плодових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 [3]. 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 досліджень та їх обговорення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Встановлено, що тривалість вегетаційного періоду від початку весняного сокоруху до повного опадання листків у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агрокліматичних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умовах Умані складає 180–185 діб. Тривалість фенологічних фаз росту і розвитку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таблиці 1.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Проведені нами фенологічні спостереження за досліджуваними сортами і формами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наявність залежності строків проходження окремих фенофаз розвитку рослин від суми ефективних температур (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вищих +5°С). Початок вегетації в більшості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Умані припадає на другу декаду квітня, коли сума активних температур складає 145°С, спостерігається початок сокоруху і розпускання бруньок. 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Характерною особливістю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розпускання лише частини бруньок пагона, решта залишається у стані спокою. Це одне із захисних пристосувань рослин до несприятливих погодних умов. Зокрема, пошкоджені інколи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пізньовесняними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заморозками пагони призупиняють свій ріст або зовсім гинуть, а вже через 7–14 діб розпускаються бруньки, які залишались у стані спокою, або пробуджуються сплячі, з яких 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розвиваються нові пагони. Встановлено, що кількість бруньок, які розкриваються, залежить від положення пагона — чим ближче його розташування до горизонтального, тим менше бруньок залишається у стані спокою. 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5E" w:rsidRPr="003F5A5E" w:rsidRDefault="003F5A5E" w:rsidP="003F5A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Таблиця 1</w:t>
      </w:r>
      <w:r w:rsidRPr="003F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Тривалість фенологічних фаз росту і розвитку </w:t>
      </w:r>
      <w:proofErr w:type="spellStart"/>
      <w:r w:rsidRPr="003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китайського </w:t>
      </w:r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(середнє за 2012</w:t>
      </w:r>
      <w:r w:rsidRPr="003F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noBreakHyphen/>
        <w:t xml:space="preserve">2014 рр.) 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033"/>
        <w:gridCol w:w="1104"/>
        <w:gridCol w:w="892"/>
        <w:gridCol w:w="1729"/>
        <w:gridCol w:w="1806"/>
        <w:gridCol w:w="1335"/>
      </w:tblGrid>
      <w:tr w:rsidR="003F5A5E" w:rsidRPr="003F5A5E" w:rsidTr="00E300A5">
        <w:tc>
          <w:tcPr>
            <w:tcW w:w="751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</w:t>
            </w:r>
            <w:proofErr w:type="spellStart"/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Фенологічні фази</w:t>
            </w:r>
          </w:p>
        </w:tc>
        <w:tc>
          <w:tcPr>
            <w:tcW w:w="1104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92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Кіль-кість</w:t>
            </w:r>
            <w:proofErr w:type="spellEnd"/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діб</w:t>
            </w:r>
          </w:p>
        </w:tc>
        <w:tc>
          <w:tcPr>
            <w:tcW w:w="1729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Сума активних температур, </w:t>
            </w: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06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Середньо-добова</w:t>
            </w:r>
            <w:proofErr w:type="spellEnd"/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температура повітря, </w:t>
            </w: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35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Відносна вологість повітря, %</w:t>
            </w:r>
          </w:p>
        </w:tc>
      </w:tr>
      <w:tr w:rsidR="003F5A5E" w:rsidRPr="003F5A5E" w:rsidTr="00E300A5">
        <w:trPr>
          <w:trHeight w:val="1459"/>
        </w:trPr>
        <w:tc>
          <w:tcPr>
            <w:tcW w:w="751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3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Початок сокоруху — початок </w:t>
            </w:r>
            <w:proofErr w:type="spellStart"/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розпу</w:t>
            </w:r>
            <w:proofErr w:type="spellEnd"/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</w:t>
            </w:r>
            <w:proofErr w:type="spellStart"/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кання</w:t>
            </w:r>
            <w:proofErr w:type="spellEnd"/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бруньок</w:t>
            </w:r>
          </w:p>
        </w:tc>
        <w:tc>
          <w:tcPr>
            <w:tcW w:w="1104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ІV–25 ІV</w:t>
            </w:r>
          </w:p>
        </w:tc>
        <w:tc>
          <w:tcPr>
            <w:tcW w:w="892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9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06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335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3F5A5E" w:rsidRPr="003F5A5E" w:rsidTr="00E300A5">
        <w:tc>
          <w:tcPr>
            <w:tcW w:w="751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3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Початок розпускання бруньок </w:t>
            </w:r>
            <w:proofErr w:type="spellStart"/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—початок</w:t>
            </w:r>
            <w:proofErr w:type="spellEnd"/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цвітіння</w:t>
            </w:r>
          </w:p>
        </w:tc>
        <w:tc>
          <w:tcPr>
            <w:tcW w:w="1104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ІV–25 V</w:t>
            </w:r>
          </w:p>
        </w:tc>
        <w:tc>
          <w:tcPr>
            <w:tcW w:w="892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29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806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335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3F5A5E" w:rsidRPr="003F5A5E" w:rsidTr="00E300A5">
        <w:tc>
          <w:tcPr>
            <w:tcW w:w="751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33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Початок цвітіння — утворення плодів</w:t>
            </w:r>
          </w:p>
        </w:tc>
        <w:tc>
          <w:tcPr>
            <w:tcW w:w="1104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V–</w:t>
            </w:r>
          </w:p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VІ</w:t>
            </w:r>
          </w:p>
        </w:tc>
        <w:tc>
          <w:tcPr>
            <w:tcW w:w="892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9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806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335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3F5A5E" w:rsidRPr="003F5A5E" w:rsidTr="00E300A5">
        <w:tc>
          <w:tcPr>
            <w:tcW w:w="751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3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Початок утворення плодів — повне дозрівання</w:t>
            </w:r>
          </w:p>
        </w:tc>
        <w:tc>
          <w:tcPr>
            <w:tcW w:w="1104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VІ–28 VІІІ</w:t>
            </w:r>
          </w:p>
        </w:tc>
        <w:tc>
          <w:tcPr>
            <w:tcW w:w="892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29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1806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335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3F5A5E" w:rsidRPr="003F5A5E" w:rsidTr="00E300A5">
        <w:tc>
          <w:tcPr>
            <w:tcW w:w="751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3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Повне дозрівання плодів — повне обпадання листків</w:t>
            </w:r>
          </w:p>
        </w:tc>
        <w:tc>
          <w:tcPr>
            <w:tcW w:w="1104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VІІІ–15 Х</w:t>
            </w:r>
          </w:p>
        </w:tc>
        <w:tc>
          <w:tcPr>
            <w:tcW w:w="892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29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806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335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3F5A5E" w:rsidRPr="003F5A5E" w:rsidTr="00E300A5">
        <w:tc>
          <w:tcPr>
            <w:tcW w:w="751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F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Початок сокоруху — повне обпадання листків</w:t>
            </w:r>
          </w:p>
        </w:tc>
        <w:tc>
          <w:tcPr>
            <w:tcW w:w="1104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ІV–15 Х</w:t>
            </w:r>
          </w:p>
        </w:tc>
        <w:tc>
          <w:tcPr>
            <w:tcW w:w="892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29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1806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335" w:type="dxa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</w:t>
            </w:r>
          </w:p>
        </w:tc>
      </w:tr>
    </w:tbl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Розглянемо особливості цвітіння і плодоношення досліджуваних сортів і 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2). За нашими спостереженнями, на одній і тій же рослині утворюються чоловічі і жіночі квітки, тобто на одному й тому ж пагоні. Розпускання бруньок відбувається поступово, по 12–15% квіток за добу. За 15–17 діб усі квітки відцвітають, зав’язі збільшуються на 0,4–0,7 см. У подальшому плід витягується за довжиною по осі і досягає більше 5 см.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5A5E" w:rsidRPr="003F5A5E" w:rsidRDefault="003F5A5E" w:rsidP="003F5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2</w:t>
      </w:r>
      <w:r w:rsidRPr="003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 xml:space="preserve"> Особливості цвітіння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китайського (спостереження на пагоні з 30 квітками)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</w:tblGrid>
      <w:tr w:rsidR="003F5A5E" w:rsidRPr="003F5A5E" w:rsidTr="00E300A5">
        <w:trPr>
          <w:trHeight w:val="345"/>
        </w:trPr>
        <w:tc>
          <w:tcPr>
            <w:tcW w:w="2802" w:type="dxa"/>
            <w:gridSpan w:val="2"/>
            <w:vMerge w:val="restart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Фаза цвітіння</w:t>
            </w:r>
          </w:p>
        </w:tc>
        <w:tc>
          <w:tcPr>
            <w:tcW w:w="7229" w:type="dxa"/>
            <w:gridSpan w:val="12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 спостережень</w:t>
            </w:r>
          </w:p>
        </w:tc>
      </w:tr>
      <w:tr w:rsidR="003F5A5E" w:rsidRPr="003F5A5E" w:rsidTr="00E300A5">
        <w:trPr>
          <w:trHeight w:val="540"/>
        </w:trPr>
        <w:tc>
          <w:tcPr>
            <w:tcW w:w="2802" w:type="dxa"/>
            <w:gridSpan w:val="2"/>
            <w:vMerge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р.</w:t>
            </w:r>
          </w:p>
        </w:tc>
        <w:tc>
          <w:tcPr>
            <w:tcW w:w="2410" w:type="dxa"/>
            <w:gridSpan w:val="4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р.</w:t>
            </w:r>
          </w:p>
        </w:tc>
        <w:tc>
          <w:tcPr>
            <w:tcW w:w="2410" w:type="dxa"/>
            <w:gridSpan w:val="4"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р.</w:t>
            </w:r>
          </w:p>
        </w:tc>
      </w:tr>
      <w:tr w:rsidR="003F5A5E" w:rsidRPr="003F5A5E" w:rsidTr="00E300A5">
        <w:trPr>
          <w:cantSplit/>
          <w:trHeight w:val="1134"/>
        </w:trPr>
        <w:tc>
          <w:tcPr>
            <w:tcW w:w="2802" w:type="dxa"/>
            <w:gridSpan w:val="2"/>
            <w:vMerge/>
            <w:vAlign w:val="center"/>
          </w:tcPr>
          <w:p w:rsidR="003F5A5E" w:rsidRPr="003F5A5E" w:rsidRDefault="003F5A5E" w:rsidP="003F5A5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5.ІV</w:t>
            </w:r>
          </w:p>
        </w:tc>
        <w:tc>
          <w:tcPr>
            <w:tcW w:w="708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5.ІV</w:t>
            </w:r>
          </w:p>
        </w:tc>
        <w:tc>
          <w:tcPr>
            <w:tcW w:w="709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4.ІV</w:t>
            </w:r>
          </w:p>
        </w:tc>
        <w:tc>
          <w:tcPr>
            <w:tcW w:w="567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5.ІV</w:t>
            </w:r>
          </w:p>
        </w:tc>
        <w:tc>
          <w:tcPr>
            <w:tcW w:w="709" w:type="dxa"/>
            <w:textDirection w:val="btLr"/>
            <w:vAlign w:val="center"/>
          </w:tcPr>
          <w:p w:rsidR="003F5A5E" w:rsidRPr="003F5A5E" w:rsidRDefault="003F5A5E" w:rsidP="003F5A5E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15.ІV</w:t>
            </w:r>
          </w:p>
        </w:tc>
      </w:tr>
      <w:tr w:rsidR="003F5A5E" w:rsidRPr="003F5A5E" w:rsidTr="00E300A5">
        <w:tc>
          <w:tcPr>
            <w:tcW w:w="1384" w:type="dxa"/>
            <w:vMerge w:val="restart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бутонів, %</w:t>
            </w:r>
          </w:p>
        </w:tc>
        <w:tc>
          <w:tcPr>
            <w:tcW w:w="141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закритих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5A5E" w:rsidRPr="003F5A5E" w:rsidTr="00E300A5">
        <w:trPr>
          <w:trHeight w:val="876"/>
        </w:trPr>
        <w:tc>
          <w:tcPr>
            <w:tcW w:w="1384" w:type="dxa"/>
            <w:vMerge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напівроз-критих</w:t>
            </w:r>
            <w:proofErr w:type="spellEnd"/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5A5E" w:rsidRPr="003F5A5E" w:rsidTr="00E300A5">
        <w:tc>
          <w:tcPr>
            <w:tcW w:w="1384" w:type="dxa"/>
            <w:vMerge w:val="restart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квіток, %</w:t>
            </w:r>
          </w:p>
        </w:tc>
        <w:tc>
          <w:tcPr>
            <w:tcW w:w="141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повністю відкритих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5A5E" w:rsidRPr="003F5A5E" w:rsidTr="00E300A5">
        <w:tc>
          <w:tcPr>
            <w:tcW w:w="1384" w:type="dxa"/>
            <w:vMerge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відцвіли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F5A5E" w:rsidRPr="003F5A5E" w:rsidTr="00E300A5">
        <w:tc>
          <w:tcPr>
            <w:tcW w:w="1384" w:type="dxa"/>
            <w:vMerge w:val="restart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квіток, %</w:t>
            </w:r>
          </w:p>
        </w:tc>
        <w:tc>
          <w:tcPr>
            <w:tcW w:w="141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чоловічих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F5A5E" w:rsidRPr="003F5A5E" w:rsidTr="00E300A5">
        <w:tc>
          <w:tcPr>
            <w:tcW w:w="1384" w:type="dxa"/>
            <w:vMerge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жіночих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F5A5E" w:rsidRPr="003F5A5E" w:rsidRDefault="003F5A5E" w:rsidP="003F5A5E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показали наші спостереження, у всіх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початковій фазі цвітіння більшість квіток відкривається в нічні години. До закінчення цвітіння збільшується кількість квіток, які розкриваються вдень. У холодну і дощову погоду під час цвітіння залишається значна кількість квіток не перезапилених, зав’язі яких відмирають. Досліджувані сорти і форми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розтягнутий період формування 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дозрівання плодів.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із важливих періодів річного циклу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морфоперіодичних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 рослин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помірному кліматі є ріст пагонів.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 росту пагонів спостерігається відразу після відособлення перших листків і припадає на другу декаду квітня.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Дослідження динаміки росту пагонів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2012–2014 рр. показало, що тривалість та інтенсивність ростових процесів залежить від типу пагонів. Вегетативним пагонам властивий ріст упродовж усього вегетаційного періоду, довжина пагонів під кінець вегетації становить 1,5±</w:t>
      </w:r>
      <w:smartTag w:uri="urn:schemas-microsoft-com:office:smarttags" w:element="metricconverter">
        <w:smartTagPr>
          <w:attr w:name="ProductID" w:val="0,5 м"/>
        </w:smartTagPr>
        <w:r w:rsidRPr="003F5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Вегетативно-генеративні пагони також розвиваються на прирості минулого року і призупиняють ріст із вступом рослин у фазу цвітіння. Абсолютний їх приріст становить до </w:t>
      </w:r>
      <w:smartTag w:uri="urn:schemas-microsoft-com:office:smarttags" w:element="metricconverter">
        <w:smartTagPr>
          <w:attr w:name="ProductID" w:val="50 см"/>
        </w:smartTagPr>
        <w:r w:rsidRPr="003F5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китайського існує третій тип пагонів — генеративні (плодові) завдовжки 1–5 см, які виконують функцію плодоношення.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Лінійний ріст пагонів у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розпочинається в другій декаді квітня відразу після відособлення перших листків і спостерігається протягом усього періоду вегетації з найвищою активністю в червні — липні.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Встановлено, що інтенсивність процесів росту пагонів залежить переважно від температури повітря і кількості опадів. На початку літа при достатній вологості ґрунту енергія росту пагонів головним чином визначається температурним режимом повітря — з підвищенням температури спостерігається активізація росту пагонів. 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другій половині літа приріст пагонів уповільнюється та активізується лише після випадання опадів. Максимальний приріст пагонів відзначено в червні — липні, він досягає в середньому 20,4±</w:t>
      </w:r>
      <w:smartTag w:uri="urn:schemas-microsoft-com:office:smarttags" w:element="metricconverter">
        <w:smartTagPr>
          <w:attr w:name="ProductID" w:val="3,7 см"/>
        </w:smartTagPr>
        <w:r w:rsidRPr="003F5A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3,7 см</w:t>
        </w:r>
      </w:smartTag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декаду.</w:t>
      </w:r>
    </w:p>
    <w:p w:rsidR="003F5A5E" w:rsidRPr="003F5A5E" w:rsidRDefault="003F5A5E" w:rsidP="003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Оптимальний період для розмноження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китайського зеленими і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напівздерев’янілими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живцями є період інтенсивного росту пагонів (червень — середина липня).</w:t>
      </w:r>
    </w:p>
    <w:p w:rsidR="003F5A5E" w:rsidRPr="003F5A5E" w:rsidRDefault="003F5A5E" w:rsidP="003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Висновки.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основі вивчення особливостей росту і розвитку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Правобережному Лісостепу України встановлено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еколого-біологічні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культивування його сортів і форм як плодової культури. Показано, що кліматичні умови лісостепової зони України забезпечують проходження повного циклу сезонного розвитку досліджуваним сортам і формам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китайського.</w:t>
      </w:r>
    </w:p>
    <w:p w:rsidR="003F5A5E" w:rsidRPr="003F5A5E" w:rsidRDefault="003F5A5E" w:rsidP="003F5A5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Визначено, що 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ріст пагонів нерівномірний протягом періоду вегетації. Інтенсивність та тривалість ростових процесів залежить від типу пагонів, температури повітря і кількості опадів. </w:t>
      </w:r>
    </w:p>
    <w:p w:rsidR="003F5A5E" w:rsidRPr="003F5A5E" w:rsidRDefault="003F5A5E" w:rsidP="003F5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Встановлено оптимальний період для розмноження досліджуваних сортів і форм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зеленими і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напівздерев’янілими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живцями, який збігається з періодом найбільш інтенсивного росту пагонів.</w:t>
      </w:r>
    </w:p>
    <w:p w:rsidR="003F5A5E" w:rsidRPr="003F5A5E" w:rsidRDefault="003F5A5E" w:rsidP="003F5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5A5E" w:rsidRPr="003F5A5E" w:rsidRDefault="003F5A5E" w:rsidP="003F5A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Список літератури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Андрієнко М. В. Малопоширені ягідні і плодові культури. /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М. В. Андрі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єнко, І. С. Роман. — К.: Урожай, 1991. — 168с.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Балабак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 Ф. Кореневласне розмноження малопоширених плодових і ягідних культур / А. Ф.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Балабак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4"/>
          <w:lang w:eastAsia="ru-RU"/>
        </w:rPr>
        <w:t>. — Умань : Оперативна поліграфія, 2003. — 109 с.</w:t>
      </w:r>
    </w:p>
    <w:p w:rsidR="003F5A5E" w:rsidRPr="003F5A5E" w:rsidRDefault="003F5A5E" w:rsidP="003F5A5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Діхтяренко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В. Розмноження зеленими живцями та вирощування саджанців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лимонику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китайського в Правобережному Лісостепу України /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 В. Діхтяре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нко // Вісник Полтавської ДАА. — Полтава, 2008. — № 2. С. 78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noBreakHyphen/>
        <w:t>82.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Колбасина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 И. Лимонник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китайский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Нечерноземье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Э. И. Колба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сина // Наука и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жизнь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— 1988. — </w:t>
      </w:r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5.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С. 89–91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5. </w:t>
      </w:r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 А.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и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китайского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А. Комарова // Структура и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биогеоценозов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Владивосток, 1984. — С. 14–31.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С. Лимонник / Б. С.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Садоводство</w:t>
      </w:r>
      <w:proofErr w:type="spellEnd"/>
      <w:r w:rsidRPr="003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виноградарство. — 1992. — № 7. — С. 24—26.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F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3F5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Иванов В. Ф. Экология плодовых культур / В. Ф. Иванов, А. С. Иванова, Н. Е. Опанасенко</w:t>
      </w:r>
      <w:proofErr w:type="gramStart"/>
      <w:r w:rsidRPr="003F5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–– </w:t>
      </w:r>
      <w:proofErr w:type="gramEnd"/>
      <w:r w:rsidRPr="003F5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К. </w:t>
      </w:r>
      <w:r w:rsidRPr="003F5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ym w:font="Symbol" w:char="003A"/>
      </w:r>
      <w:r w:rsidRPr="003F5A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Аграрная наука, 1998. –– 407 с.</w:t>
      </w:r>
    </w:p>
    <w:p w:rsidR="003F5A5E" w:rsidRPr="003F5A5E" w:rsidRDefault="003F5A5E" w:rsidP="003F5A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Эколого-биологические особенности выращивания лимонника китайского </w:t>
      </w:r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F5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Schizandra</w:t>
      </w:r>
      <w:proofErr w:type="spellEnd"/>
      <w:r w:rsidRPr="003F5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chinensis</w:t>
      </w:r>
      <w:proofErr w:type="spellEnd"/>
      <w:r w:rsidRPr="003F5A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(</w:t>
      </w:r>
      <w:proofErr w:type="spellStart"/>
      <w:r w:rsidRPr="003F5A5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Turcz</w:t>
      </w:r>
      <w:proofErr w:type="spellEnd"/>
      <w:r w:rsidRPr="003F5A5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.)</w:t>
      </w:r>
      <w:proofErr w:type="gramEnd"/>
      <w:r w:rsidRPr="003F5A5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F5A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Baill</w:t>
      </w:r>
      <w:proofErr w:type="spellEnd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.) в </w:t>
      </w:r>
      <w:proofErr w:type="spellStart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условиях</w:t>
      </w:r>
      <w:proofErr w:type="spellEnd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Правобережной</w:t>
      </w:r>
      <w:proofErr w:type="spellEnd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Лесостепи</w:t>
      </w:r>
      <w:proofErr w:type="spellEnd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Украины</w:t>
      </w:r>
      <w:proofErr w:type="spellEnd"/>
      <w:proofErr w:type="gramEnd"/>
    </w:p>
    <w:p w:rsidR="003F5A5E" w:rsidRPr="003F5A5E" w:rsidRDefault="003F5A5E" w:rsidP="003F5A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В. </w:t>
      </w:r>
      <w:proofErr w:type="spellStart"/>
      <w:r w:rsidRPr="003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Балабак</w:t>
      </w:r>
      <w:proofErr w:type="spellEnd"/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Впервые в Правобережной Лесостепи Украины 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интродуцировано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изучено фенологические особенности роста и развития сортов 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 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китайского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F5A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Schizandra</w:t>
      </w:r>
      <w:proofErr w:type="spellEnd"/>
      <w:r w:rsidRPr="003F5A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chinensis</w:t>
      </w:r>
      <w:proofErr w:type="spellEnd"/>
      <w:r w:rsidRPr="003F5A5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spellStart"/>
      <w:r w:rsidRPr="003F5A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Turcz</w:t>
      </w:r>
      <w:proofErr w:type="spellEnd"/>
      <w:r w:rsidRPr="003F5A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.)</w:t>
      </w:r>
      <w:proofErr w:type="gramEnd"/>
      <w:r w:rsidRPr="003F5A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Baill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proofErr w:type="gramEnd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Рассмотрено сроки прохождения фенологических фаз сезонного цикла роста и развития маточных растений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условиях Правобережной Лесостепи Украины. Установлено оптимальный период для размножения исследуемых сортов 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 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лимонника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китайского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елеными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стеблевыми черенками, который совпадает с периодом наибольшего интенсивного роста побегов (июнь – средина июля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Установлено, что интенсивность процессов роста побегов зависит в основном от температуры воздуха и количества осадков.</w:t>
      </w:r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Показано, что климатические условия лесостепной зоны Украины обеспечивают прохождение полного цикла сезонного развития изучаемым сортам и формам лимонника китайского. Плоды полностью созревают, что свидетельствует о возможной </w:t>
      </w:r>
      <w:proofErr w:type="spellStart"/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интродукци</w:t>
      </w:r>
      <w:proofErr w:type="spellEnd"/>
      <w:r w:rsidRPr="003F5A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их в регион исследований.</w:t>
      </w: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5A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Ключевые слова: 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лимонник китайский, сорта, фенологические фазы развития маточных растений, стеблевые черенки.</w:t>
      </w:r>
    </w:p>
    <w:p w:rsidR="003F5A5E" w:rsidRPr="003F5A5E" w:rsidRDefault="003F5A5E" w:rsidP="003F5A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A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Ecological and b</w:t>
      </w:r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iological peculiarities of growth of </w:t>
      </w:r>
      <w:r w:rsidRPr="003F5A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Chinese Magnolia Vine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Pr="003F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Schisandra</w:t>
      </w:r>
      <w:proofErr w:type="spellEnd"/>
      <w:r w:rsidRPr="003F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chinensis</w:t>
      </w:r>
      <w:proofErr w:type="spellEnd"/>
      <w:r w:rsidRPr="003F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3F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Turcz</w:t>
      </w:r>
      <w:proofErr w:type="spellEnd"/>
      <w:r w:rsidRPr="003F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  <w:proofErr w:type="gramEnd"/>
      <w:r w:rsidRPr="003F5A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Baill</w:t>
      </w:r>
      <w:proofErr w:type="spellEnd"/>
      <w:r w:rsidRPr="003F5A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3F5A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)</w:t>
      </w:r>
      <w:r w:rsidRPr="003F5A5E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proofErr w:type="gramStart"/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</w:t>
      </w:r>
      <w:proofErr w:type="gramEnd"/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the conditions of Right-Bank Forest-Steppe of Ukraine</w:t>
      </w: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A.</w:t>
      </w:r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V. </w:t>
      </w:r>
      <w:proofErr w:type="spellStart"/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Balabak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Uman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National University of Horticulture</w:t>
      </w: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Varieties and forms of 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Chinese Magnolia Vine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  <w:r w:rsidRPr="003F5A5E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proofErr w:type="gram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were</w:t>
      </w:r>
      <w:proofErr w:type="gram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introduced in the Right-Bank Forest-Steppe of Ukraine for the first time and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phenological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peculiarities of their growth and development were studied. The terms of passing through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phenological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stages of the seasonal cycle of growth and development of mother plants of the introduced</w:t>
      </w:r>
      <w:r w:rsidRPr="003F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Chinese Magnolia Vine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varieties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and forms in the conditions of the Right-Bank Forest-Steppe of Ukraine were considered. The optimal period for propagation of the studied 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Chinese Magnolia Vine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varieties and forms by green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cuttings was determined. This term coincides with the period of the most intensive shoot growth (June-middle of July)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It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is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established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that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the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intensity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of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the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processes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of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shoot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growth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depends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mainly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on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air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temperature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and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precipitation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F5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shown that the climatic conditions of the steppe zone of Ukraine provide the full cycle of the seasonal development of the studied varieties and forms of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Chinese Magnolia Vine</w:t>
      </w:r>
      <w:r w:rsidRPr="003F5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fruits fully </w:t>
      </w:r>
      <w:proofErr w:type="gramStart"/>
      <w:r w:rsidRPr="003F5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ripen,</w:t>
      </w:r>
      <w:proofErr w:type="gramEnd"/>
      <w:r w:rsidRPr="003F5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give like seeds, suggesting a possible introduction in their study region.</w:t>
      </w: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Key words: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F5A5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Chinese Magnolia Vine</w:t>
      </w:r>
      <w:r w:rsidRPr="003F5A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varieties, </w:t>
      </w:r>
      <w:proofErr w:type="spellStart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phenological</w:t>
      </w:r>
      <w:proofErr w:type="spellEnd"/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stages of plant development, mother plants, stem cuttings</w:t>
      </w:r>
      <w:r w:rsidRPr="003F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5A5E" w:rsidRPr="003F5A5E" w:rsidRDefault="003F5A5E" w:rsidP="003F5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14ABA" w:rsidRPr="003F5A5E" w:rsidRDefault="00514ABA">
      <w:pPr>
        <w:rPr>
          <w:lang w:val="en-US"/>
        </w:rPr>
      </w:pPr>
      <w:bookmarkStart w:id="0" w:name="_GoBack"/>
      <w:bookmarkEnd w:id="0"/>
    </w:p>
    <w:sectPr w:rsidR="00514ABA" w:rsidRPr="003F5A5E" w:rsidSect="00877C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7"/>
    <w:rsid w:val="00110187"/>
    <w:rsid w:val="003F5A5E"/>
    <w:rsid w:val="005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9269</Words>
  <Characters>5284</Characters>
  <Application>Microsoft Office Word</Application>
  <DocSecurity>0</DocSecurity>
  <Lines>44</Lines>
  <Paragraphs>29</Paragraphs>
  <ScaleCrop>false</ScaleCrop>
  <Company>diakov.net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2016-04-25T06:40:00Z</dcterms:created>
  <dcterms:modified xsi:type="dcterms:W3CDTF">2016-04-25T06:40:00Z</dcterms:modified>
</cp:coreProperties>
</file>